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9C09B" w14:textId="3E78ADB9" w:rsidR="005B21B7" w:rsidRPr="000263E1" w:rsidRDefault="005B21B7" w:rsidP="005B21B7">
      <w:pPr>
        <w:pStyle w:val="a5"/>
        <w:tabs>
          <w:tab w:val="left" w:pos="8280"/>
        </w:tabs>
        <w:spacing w:line="280" w:lineRule="exact"/>
        <w:jc w:val="both"/>
        <w:rPr>
          <w:rFonts w:ascii="Calibri" w:eastAsia="PMingLiU" w:hAnsi="Calibri" w:cs="Calibri"/>
          <w:sz w:val="24"/>
          <w:szCs w:val="24"/>
          <w:highlight w:val="yellow"/>
          <w:lang w:eastAsia="ja-JP"/>
        </w:rPr>
      </w:pPr>
      <w:r w:rsidRPr="000263E1">
        <w:rPr>
          <w:rFonts w:ascii="Calibri" w:eastAsia="PMingLiU" w:hAnsi="Calibri" w:cs="Calibri"/>
          <w:sz w:val="24"/>
          <w:szCs w:val="24"/>
          <w:lang w:eastAsia="ja-JP"/>
        </w:rPr>
        <w:t xml:space="preserve">3GPP TSG-RAN WG4 Meeting #92bis                       </w:t>
      </w:r>
      <w:r w:rsidRPr="000263E1">
        <w:rPr>
          <w:rFonts w:ascii="Calibri" w:eastAsia="PMingLiU" w:hAnsi="Calibri" w:cs="Calibri"/>
          <w:sz w:val="24"/>
          <w:szCs w:val="24"/>
          <w:lang w:eastAsia="ja-JP"/>
        </w:rPr>
        <w:tab/>
        <w:t xml:space="preserve"> R4-</w:t>
      </w:r>
      <w:r w:rsidRPr="000263E1">
        <w:rPr>
          <w:rFonts w:ascii="Calibri" w:hAnsi="Calibri" w:cs="Calibri"/>
        </w:rPr>
        <w:t xml:space="preserve"> </w:t>
      </w:r>
      <w:r w:rsidRPr="000263E1">
        <w:rPr>
          <w:rFonts w:ascii="Calibri" w:eastAsia="PMingLiU" w:hAnsi="Calibri" w:cs="Calibri"/>
          <w:sz w:val="24"/>
          <w:szCs w:val="24"/>
          <w:lang w:eastAsia="ja-JP"/>
        </w:rPr>
        <w:t>191</w:t>
      </w:r>
      <w:r w:rsidR="007B3098">
        <w:rPr>
          <w:rFonts w:ascii="Calibri" w:eastAsia="PMingLiU" w:hAnsi="Calibri" w:cs="Calibri"/>
          <w:sz w:val="24"/>
          <w:szCs w:val="24"/>
          <w:lang w:eastAsia="ja-JP"/>
        </w:rPr>
        <w:t>0901</w:t>
      </w:r>
    </w:p>
    <w:p w14:paraId="336EAEAF" w14:textId="77777777" w:rsidR="005B21B7" w:rsidRPr="006E2503" w:rsidRDefault="005B21B7" w:rsidP="005B21B7">
      <w:pPr>
        <w:pStyle w:val="CRCoverPage"/>
        <w:outlineLvl w:val="0"/>
        <w:rPr>
          <w:rFonts w:ascii="Calibri" w:eastAsia="PMingLiU" w:hAnsi="Calibri" w:cs="Calibri"/>
          <w:b/>
          <w:sz w:val="24"/>
          <w:szCs w:val="24"/>
          <w:lang w:eastAsia="ja-JP"/>
        </w:rPr>
      </w:pPr>
      <w:r w:rsidRPr="00920FFE">
        <w:rPr>
          <w:rFonts w:ascii="Calibri" w:eastAsia="PMingLiU" w:hAnsi="Calibri" w:cs="Calibri"/>
          <w:b/>
          <w:sz w:val="24"/>
          <w:szCs w:val="24"/>
          <w:lang w:eastAsia="ja-JP"/>
        </w:rPr>
        <w:t>C</w:t>
      </w:r>
      <w:r w:rsidRPr="00920FFE">
        <w:rPr>
          <w:rFonts w:ascii="Calibri" w:eastAsia="PMingLiU" w:hAnsi="Calibri" w:cs="Calibri" w:hint="eastAsia"/>
          <w:b/>
          <w:sz w:val="24"/>
          <w:szCs w:val="24"/>
          <w:lang w:eastAsia="ja-JP"/>
        </w:rPr>
        <w:t>hongqing</w:t>
      </w:r>
      <w:r w:rsidRPr="00920FFE">
        <w:rPr>
          <w:rFonts w:ascii="Calibri" w:eastAsia="PMingLiU" w:hAnsi="Calibri" w:cs="Calibri"/>
          <w:b/>
          <w:sz w:val="24"/>
          <w:szCs w:val="24"/>
          <w:lang w:eastAsia="ja-JP"/>
        </w:rPr>
        <w:t xml:space="preserve">, China, 14th - 18th Oct, 2019 </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242D7B06"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4F11D1" w:rsidRPr="004F11D1">
        <w:rPr>
          <w:b/>
        </w:rPr>
        <w:t>8.4.5.2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686726DF" w:rsidR="00174EC2" w:rsidRDefault="0034111C" w:rsidP="007A4FCF">
      <w:pPr>
        <w:ind w:left="1985" w:hanging="1985"/>
        <w:rPr>
          <w:rFonts w:cs="Arial"/>
          <w:b/>
          <w:bCs/>
        </w:rPr>
      </w:pPr>
      <w:r w:rsidRPr="000C45FD">
        <w:rPr>
          <w:rFonts w:cs="Arial"/>
          <w:b/>
          <w:bCs/>
        </w:rPr>
        <w:t>Title:</w:t>
      </w:r>
      <w:r w:rsidRPr="000C45FD">
        <w:rPr>
          <w:rFonts w:cs="Arial"/>
          <w:b/>
          <w:bCs/>
        </w:rPr>
        <w:tab/>
      </w:r>
      <w:r w:rsidR="00486D1A">
        <w:rPr>
          <w:rFonts w:cs="Arial"/>
          <w:b/>
          <w:bCs/>
        </w:rPr>
        <w:t>D</w:t>
      </w:r>
      <w:r w:rsidR="00C950A9">
        <w:rPr>
          <w:rFonts w:cs="Arial"/>
          <w:b/>
          <w:bCs/>
        </w:rPr>
        <w:t xml:space="preserve">iscussion on </w:t>
      </w:r>
      <w:r w:rsidR="00842EE0">
        <w:rPr>
          <w:rFonts w:cs="Arial"/>
          <w:b/>
          <w:bCs/>
        </w:rPr>
        <w:t xml:space="preserve">NR V2X </w:t>
      </w:r>
      <w:r w:rsidR="00B46744">
        <w:rPr>
          <w:rFonts w:cs="Arial"/>
          <w:b/>
          <w:bCs/>
        </w:rPr>
        <w:t>synchronization related</w:t>
      </w:r>
      <w:r w:rsidR="00842EE0">
        <w:rPr>
          <w:rFonts w:cs="Arial"/>
          <w:b/>
          <w:bCs/>
        </w:rPr>
        <w:t xml:space="preserve"> requirement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5C54FF">
      <w:pPr>
        <w:pStyle w:val="1"/>
        <w:numPr>
          <w:ilvl w:val="0"/>
          <w:numId w:val="1"/>
        </w:numPr>
        <w:rPr>
          <w:rFonts w:ascii="Calibri" w:hAnsi="Calibri"/>
        </w:rPr>
      </w:pPr>
      <w:r w:rsidRPr="000C45FD">
        <w:rPr>
          <w:rFonts w:ascii="Calibri" w:hAnsi="Calibri"/>
        </w:rPr>
        <w:t>Introduction</w:t>
      </w:r>
    </w:p>
    <w:p w14:paraId="006F0454" w14:textId="258B3CBE" w:rsidR="00E27536" w:rsidRDefault="00E27536" w:rsidP="00E27536">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n RAN</w:t>
      </w:r>
      <w:r>
        <w:rPr>
          <w:rFonts w:asciiTheme="minorHAnsi" w:eastAsiaTheme="minorEastAsia" w:hAnsiTheme="minorHAnsi" w:cstheme="minorBidi"/>
          <w:color w:val="auto"/>
          <w:sz w:val="22"/>
          <w:szCs w:val="22"/>
        </w:rPr>
        <w:t>1</w:t>
      </w:r>
      <w:r w:rsidRPr="00842EE0">
        <w:rPr>
          <w:rFonts w:asciiTheme="minorHAnsi" w:eastAsiaTheme="minorEastAsia" w:hAnsiTheme="minorHAnsi" w:cstheme="minorBidi" w:hint="eastAsia"/>
          <w:color w:val="auto"/>
          <w:sz w:val="22"/>
          <w:szCs w:val="22"/>
        </w:rPr>
        <w:t xml:space="preserve"> </w:t>
      </w:r>
      <w:r>
        <w:rPr>
          <w:rFonts w:asciiTheme="minorHAnsi" w:eastAsiaTheme="minorEastAsia" w:hAnsiTheme="minorHAnsi" w:cstheme="minorBidi"/>
          <w:color w:val="auto"/>
          <w:sz w:val="22"/>
          <w:szCs w:val="22"/>
        </w:rPr>
        <w:t>#98</w:t>
      </w:r>
      <w:r w:rsidRPr="00842EE0">
        <w:rPr>
          <w:rFonts w:asciiTheme="minorHAnsi" w:eastAsiaTheme="minorEastAsia" w:hAnsiTheme="minorHAnsi" w:cstheme="minorBidi" w:hint="eastAsia"/>
          <w:color w:val="auto"/>
          <w:sz w:val="22"/>
          <w:szCs w:val="22"/>
        </w:rPr>
        <w:t xml:space="preserve"> meeting,</w:t>
      </w:r>
      <w:r>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hint="eastAsia"/>
          <w:color w:val="auto"/>
          <w:sz w:val="22"/>
          <w:szCs w:val="22"/>
        </w:rPr>
        <w:t xml:space="preserve">the </w:t>
      </w:r>
      <w:r>
        <w:rPr>
          <w:rFonts w:asciiTheme="minorHAnsi" w:eastAsiaTheme="minorEastAsia" w:hAnsiTheme="minorHAnsi" w:cstheme="minorBidi"/>
          <w:color w:val="auto"/>
          <w:sz w:val="22"/>
          <w:szCs w:val="22"/>
        </w:rPr>
        <w:t>synchronization</w:t>
      </w:r>
      <w:r>
        <w:rPr>
          <w:rFonts w:asciiTheme="minorHAnsi" w:eastAsiaTheme="minorEastAsia" w:hAnsiTheme="minorHAnsi" w:cstheme="minorBidi" w:hint="eastAsia"/>
          <w:color w:val="auto"/>
          <w:sz w:val="22"/>
          <w:szCs w:val="22"/>
        </w:rPr>
        <w:t xml:space="preserve"> </w:t>
      </w:r>
      <w:r>
        <w:rPr>
          <w:rFonts w:asciiTheme="minorHAnsi" w:eastAsiaTheme="minorEastAsia" w:hAnsiTheme="minorHAnsi" w:cstheme="minorBidi"/>
          <w:color w:val="auto"/>
          <w:sz w:val="22"/>
          <w:szCs w:val="22"/>
        </w:rPr>
        <w:t xml:space="preserve">reference source priority rules </w:t>
      </w:r>
      <w:r w:rsidRPr="00C13CBB">
        <w:rPr>
          <w:rFonts w:asciiTheme="minorHAnsi" w:eastAsiaTheme="minorEastAsia" w:hAnsiTheme="minorHAnsi" w:cstheme="minorBidi"/>
          <w:color w:val="auto"/>
          <w:sz w:val="22"/>
          <w:szCs w:val="22"/>
        </w:rPr>
        <w:t xml:space="preserve">have been </w:t>
      </w:r>
      <w:r>
        <w:rPr>
          <w:rFonts w:asciiTheme="minorHAnsi" w:eastAsiaTheme="minorEastAsia" w:hAnsiTheme="minorHAnsi" w:cstheme="minorBidi"/>
          <w:color w:val="auto"/>
          <w:sz w:val="22"/>
          <w:szCs w:val="22"/>
        </w:rPr>
        <w:t>updated</w:t>
      </w:r>
      <w:r w:rsidRPr="00C13CBB">
        <w:rPr>
          <w:rFonts w:asciiTheme="minorHAnsi" w:eastAsiaTheme="minorEastAsia" w:hAnsiTheme="minorHAnsi" w:cstheme="minorBidi"/>
          <w:color w:val="auto"/>
          <w:sz w:val="22"/>
          <w:szCs w:val="22"/>
        </w:rPr>
        <w:t xml:space="preserve"> on sidelink synchronization mechanism</w:t>
      </w:r>
      <w:r w:rsidR="001D015A">
        <w:rPr>
          <w:rFonts w:asciiTheme="minorHAnsi" w:eastAsiaTheme="minorEastAsia" w:hAnsiTheme="minorHAnsi" w:cstheme="minorBidi"/>
          <w:color w:val="auto"/>
          <w:sz w:val="22"/>
          <w:szCs w:val="22"/>
        </w:rPr>
        <w:t xml:space="preserve"> and RAN1 has sent a LS</w:t>
      </w:r>
      <w:r w:rsidR="00ED6BD4">
        <w:rPr>
          <w:rFonts w:asciiTheme="minorHAnsi" w:eastAsiaTheme="minorEastAsia" w:hAnsiTheme="minorHAnsi" w:cstheme="minorBidi"/>
          <w:color w:val="auto"/>
          <w:sz w:val="22"/>
          <w:szCs w:val="22"/>
        </w:rPr>
        <w:t>[1]</w:t>
      </w:r>
      <w:r w:rsidR="001D015A">
        <w:rPr>
          <w:rFonts w:asciiTheme="minorHAnsi" w:eastAsiaTheme="minorEastAsia" w:hAnsiTheme="minorHAnsi" w:cstheme="minorBidi"/>
          <w:color w:val="auto"/>
          <w:sz w:val="22"/>
          <w:szCs w:val="22"/>
        </w:rPr>
        <w:t xml:space="preserve"> to RAN4 to inform this new synchronization priority rules.</w:t>
      </w:r>
    </w:p>
    <w:tbl>
      <w:tblPr>
        <w:tblStyle w:val="af4"/>
        <w:tblW w:w="0" w:type="auto"/>
        <w:tblLook w:val="04A0" w:firstRow="1" w:lastRow="0" w:firstColumn="1" w:lastColumn="0" w:noHBand="0" w:noVBand="1"/>
      </w:tblPr>
      <w:tblGrid>
        <w:gridCol w:w="9629"/>
      </w:tblGrid>
      <w:tr w:rsidR="00E27536" w14:paraId="76F0734C" w14:textId="77777777" w:rsidTr="0005789B">
        <w:tc>
          <w:tcPr>
            <w:tcW w:w="9629" w:type="dxa"/>
          </w:tcPr>
          <w:p w14:paraId="3E05BB85" w14:textId="77777777" w:rsidR="00E27536" w:rsidRPr="00570BEB" w:rsidRDefault="00E27536" w:rsidP="0005789B">
            <w:pPr>
              <w:rPr>
                <w:lang w:eastAsia="x-none"/>
              </w:rPr>
            </w:pPr>
            <w:r>
              <w:rPr>
                <w:highlight w:val="green"/>
                <w:lang w:eastAsia="x-none"/>
              </w:rPr>
              <w:t xml:space="preserve">RAN1 #98 </w:t>
            </w:r>
            <w:r w:rsidRPr="00A06DFE">
              <w:rPr>
                <w:highlight w:val="green"/>
                <w:lang w:eastAsia="x-none"/>
              </w:rPr>
              <w:t>Agreements</w:t>
            </w:r>
            <w:r>
              <w:rPr>
                <w:lang w:eastAsia="x-none"/>
              </w:rPr>
              <w:t>:</w:t>
            </w:r>
          </w:p>
          <w:p w14:paraId="5602F108" w14:textId="77777777" w:rsidR="001D015A" w:rsidRPr="0004109B" w:rsidRDefault="001D015A" w:rsidP="001D015A">
            <w:pPr>
              <w:pStyle w:val="af7"/>
              <w:numPr>
                <w:ilvl w:val="0"/>
                <w:numId w:val="11"/>
              </w:numPr>
              <w:spacing w:beforeLines="50" w:before="120" w:afterLines="50" w:line="240" w:lineRule="auto"/>
              <w:ind w:hangingChars="210"/>
            </w:pPr>
            <w:r w:rsidRPr="0004109B">
              <w:rPr>
                <w:rFonts w:eastAsia="Malgun Gothic"/>
              </w:rPr>
              <w:t>For confirmation of the working assumption of synchronization priority rules, eNB/gNB should be included into the priority order of GNSS-based synchronization.</w:t>
            </w:r>
          </w:p>
          <w:tbl>
            <w:tblPr>
              <w:tblW w:w="0" w:type="auto"/>
              <w:jc w:val="center"/>
              <w:tblCellMar>
                <w:left w:w="0" w:type="dxa"/>
                <w:right w:w="0" w:type="dxa"/>
              </w:tblCellMar>
              <w:tblLook w:val="04A0" w:firstRow="1" w:lastRow="0" w:firstColumn="1" w:lastColumn="0" w:noHBand="0" w:noVBand="1"/>
            </w:tblPr>
            <w:tblGrid>
              <w:gridCol w:w="4674"/>
              <w:gridCol w:w="4719"/>
            </w:tblGrid>
            <w:tr w:rsidR="001D015A" w:rsidRPr="0004109B" w14:paraId="0D0AB7B4" w14:textId="77777777" w:rsidTr="007B6CEC">
              <w:trPr>
                <w:trHeight w:val="554"/>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9E59D44" w14:textId="77777777" w:rsidR="001D015A" w:rsidRPr="0004109B" w:rsidRDefault="001D015A" w:rsidP="001D015A">
                  <w:pPr>
                    <w:jc w:val="center"/>
                    <w:rPr>
                      <w:rFonts w:eastAsia="宋体"/>
                      <w:sz w:val="24"/>
                      <w:szCs w:val="24"/>
                    </w:rPr>
                  </w:pPr>
                  <w:r w:rsidRPr="0004109B">
                    <w:rPr>
                      <w:b/>
                      <w:bCs/>
                    </w:rPr>
                    <w:t>GNSS-based synchronization</w:t>
                  </w: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8CF1FFC" w14:textId="77777777" w:rsidR="001D015A" w:rsidRPr="0004109B" w:rsidRDefault="001D015A" w:rsidP="001D015A">
                  <w:pPr>
                    <w:jc w:val="center"/>
                    <w:rPr>
                      <w:rFonts w:eastAsia="宋体"/>
                      <w:sz w:val="24"/>
                      <w:szCs w:val="24"/>
                    </w:rPr>
                  </w:pPr>
                  <w:r w:rsidRPr="0004109B">
                    <w:rPr>
                      <w:b/>
                      <w:bCs/>
                    </w:rPr>
                    <w:t>gNB/eNB-based synchronization</w:t>
                  </w:r>
                </w:p>
              </w:tc>
            </w:tr>
            <w:tr w:rsidR="001D015A" w:rsidRPr="0004109B" w14:paraId="15639CB4" w14:textId="77777777" w:rsidTr="007B6CEC">
              <w:trPr>
                <w:trHeight w:val="2159"/>
                <w:jc w:val="center"/>
              </w:trPr>
              <w:tc>
                <w:tcPr>
                  <w:tcW w:w="0" w:type="auto"/>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6F362DDC" w14:textId="77777777" w:rsidR="001D015A" w:rsidRPr="001D015A" w:rsidRDefault="001D015A" w:rsidP="001D015A">
                  <w:pPr>
                    <w:spacing w:after="0" w:line="276" w:lineRule="auto"/>
                    <w:rPr>
                      <w:sz w:val="20"/>
                      <w:szCs w:val="24"/>
                    </w:rPr>
                  </w:pPr>
                  <w:r w:rsidRPr="001D015A">
                    <w:rPr>
                      <w:sz w:val="20"/>
                    </w:rPr>
                    <w:t>•</w:t>
                  </w:r>
                  <w:r w:rsidRPr="001D015A">
                    <w:rPr>
                      <w:rFonts w:eastAsia="Malgun Gothic"/>
                      <w:sz w:val="20"/>
                      <w:szCs w:val="14"/>
                    </w:rPr>
                    <w:t xml:space="preserve">                 </w:t>
                  </w:r>
                  <w:r w:rsidRPr="001D015A">
                    <w:rPr>
                      <w:sz w:val="20"/>
                    </w:rPr>
                    <w:t>P0: GNSS</w:t>
                  </w:r>
                </w:p>
                <w:p w14:paraId="0C8A36FA" w14:textId="77777777" w:rsidR="001D015A" w:rsidRPr="001D015A" w:rsidRDefault="001D015A" w:rsidP="001D015A">
                  <w:pPr>
                    <w:spacing w:after="0" w:line="276" w:lineRule="auto"/>
                    <w:rPr>
                      <w:sz w:val="20"/>
                    </w:rPr>
                  </w:pPr>
                  <w:r w:rsidRPr="001D015A">
                    <w:rPr>
                      <w:sz w:val="20"/>
                    </w:rPr>
                    <w:t>•</w:t>
                  </w:r>
                  <w:r w:rsidRPr="001D015A">
                    <w:rPr>
                      <w:rFonts w:eastAsia="Malgun Gothic"/>
                      <w:sz w:val="20"/>
                      <w:szCs w:val="14"/>
                    </w:rPr>
                    <w:t xml:space="preserve">                 </w:t>
                  </w:r>
                  <w:r w:rsidRPr="001D015A">
                    <w:rPr>
                      <w:sz w:val="20"/>
                    </w:rPr>
                    <w:t>P1: UE directly synchronized to GNSS</w:t>
                  </w:r>
                </w:p>
                <w:p w14:paraId="2D6BD795" w14:textId="77777777" w:rsidR="001D015A" w:rsidRPr="001D015A" w:rsidRDefault="001D015A" w:rsidP="001D015A">
                  <w:pPr>
                    <w:spacing w:after="0" w:line="276" w:lineRule="auto"/>
                    <w:rPr>
                      <w:sz w:val="20"/>
                    </w:rPr>
                  </w:pPr>
                  <w:r w:rsidRPr="001D015A">
                    <w:rPr>
                      <w:sz w:val="20"/>
                    </w:rPr>
                    <w:t>•</w:t>
                  </w:r>
                  <w:r w:rsidRPr="001D015A">
                    <w:rPr>
                      <w:rFonts w:eastAsia="Malgun Gothic"/>
                      <w:sz w:val="20"/>
                      <w:szCs w:val="14"/>
                    </w:rPr>
                    <w:t xml:space="preserve">                 </w:t>
                  </w:r>
                  <w:r w:rsidRPr="001D015A">
                    <w:rPr>
                      <w:sz w:val="20"/>
                    </w:rPr>
                    <w:t>P2: UE indirectly synchronized to GNSS</w:t>
                  </w:r>
                </w:p>
                <w:p w14:paraId="1D3A42E7" w14:textId="77777777" w:rsidR="001D015A" w:rsidRPr="001D015A" w:rsidRDefault="001D015A" w:rsidP="001D015A">
                  <w:pPr>
                    <w:spacing w:after="0" w:line="276" w:lineRule="auto"/>
                    <w:rPr>
                      <w:sz w:val="20"/>
                    </w:rPr>
                  </w:pPr>
                  <w:r w:rsidRPr="001D015A">
                    <w:rPr>
                      <w:sz w:val="20"/>
                    </w:rPr>
                    <w:t>•</w:t>
                  </w:r>
                  <w:r w:rsidRPr="001D015A">
                    <w:rPr>
                      <w:rFonts w:eastAsia="Malgun Gothic"/>
                      <w:sz w:val="20"/>
                      <w:szCs w:val="14"/>
                    </w:rPr>
                    <w:t xml:space="preserve">                 </w:t>
                  </w:r>
                  <w:r w:rsidRPr="001D015A">
                    <w:rPr>
                      <w:sz w:val="20"/>
                    </w:rPr>
                    <w:t>P3: gNB/eNB</w:t>
                  </w:r>
                </w:p>
                <w:p w14:paraId="5F254E3D" w14:textId="77777777" w:rsidR="001D015A" w:rsidRPr="001D015A" w:rsidRDefault="001D015A" w:rsidP="001D015A">
                  <w:pPr>
                    <w:spacing w:after="0" w:line="276" w:lineRule="auto"/>
                    <w:rPr>
                      <w:sz w:val="20"/>
                    </w:rPr>
                  </w:pPr>
                  <w:r w:rsidRPr="001D015A">
                    <w:rPr>
                      <w:sz w:val="20"/>
                    </w:rPr>
                    <w:t>•</w:t>
                  </w:r>
                  <w:r w:rsidRPr="001D015A">
                    <w:rPr>
                      <w:rFonts w:eastAsia="Malgun Gothic"/>
                      <w:sz w:val="20"/>
                      <w:szCs w:val="14"/>
                    </w:rPr>
                    <w:t xml:space="preserve">                 </w:t>
                  </w:r>
                  <w:r w:rsidRPr="001D015A">
                    <w:rPr>
                      <w:sz w:val="20"/>
                    </w:rPr>
                    <w:t>P4: UE directly synchronized to gNB/eNB</w:t>
                  </w:r>
                </w:p>
                <w:p w14:paraId="35376E73" w14:textId="77777777" w:rsidR="001D015A" w:rsidRPr="001D015A" w:rsidRDefault="001D015A" w:rsidP="001D015A">
                  <w:pPr>
                    <w:spacing w:after="0" w:line="276" w:lineRule="auto"/>
                    <w:rPr>
                      <w:sz w:val="20"/>
                    </w:rPr>
                  </w:pPr>
                  <w:r w:rsidRPr="001D015A">
                    <w:rPr>
                      <w:sz w:val="20"/>
                    </w:rPr>
                    <w:t>•</w:t>
                  </w:r>
                  <w:r w:rsidRPr="001D015A">
                    <w:rPr>
                      <w:rFonts w:eastAsia="Malgun Gothic"/>
                      <w:sz w:val="20"/>
                      <w:szCs w:val="14"/>
                    </w:rPr>
                    <w:t xml:space="preserve">                 </w:t>
                  </w:r>
                  <w:r w:rsidRPr="001D015A">
                    <w:rPr>
                      <w:sz w:val="20"/>
                    </w:rPr>
                    <w:t>P5: UE indirectly synchronized to gNB/eNB</w:t>
                  </w:r>
                </w:p>
                <w:p w14:paraId="2A950805" w14:textId="77777777" w:rsidR="001D015A" w:rsidRPr="001D015A" w:rsidRDefault="001D015A" w:rsidP="001D015A">
                  <w:pPr>
                    <w:spacing w:after="0" w:line="276" w:lineRule="auto"/>
                    <w:rPr>
                      <w:rFonts w:eastAsia="宋体"/>
                      <w:sz w:val="20"/>
                      <w:szCs w:val="24"/>
                    </w:rPr>
                  </w:pPr>
                  <w:r w:rsidRPr="001D015A">
                    <w:rPr>
                      <w:sz w:val="20"/>
                    </w:rPr>
                    <w:t>•</w:t>
                  </w:r>
                  <w:r w:rsidRPr="001D015A">
                    <w:rPr>
                      <w:rFonts w:eastAsia="Malgun Gothic"/>
                      <w:sz w:val="20"/>
                      <w:szCs w:val="14"/>
                    </w:rPr>
                    <w:t xml:space="preserve">                 </w:t>
                  </w:r>
                  <w:r w:rsidRPr="001D015A">
                    <w:rPr>
                      <w:sz w:val="20"/>
                    </w:rPr>
                    <w:t>P6: the remaining UEs have the lowest priority.</w:t>
                  </w:r>
                </w:p>
              </w:tc>
              <w:tc>
                <w:tcPr>
                  <w:tcW w:w="0" w:type="auto"/>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32618447" w14:textId="77777777" w:rsidR="001D015A" w:rsidRPr="001D015A" w:rsidRDefault="001D015A" w:rsidP="001D015A">
                  <w:pPr>
                    <w:spacing w:after="0" w:line="276" w:lineRule="auto"/>
                    <w:rPr>
                      <w:sz w:val="20"/>
                      <w:szCs w:val="24"/>
                    </w:rPr>
                  </w:pPr>
                  <w:r w:rsidRPr="001D015A">
                    <w:rPr>
                      <w:sz w:val="20"/>
                    </w:rPr>
                    <w:t>•</w:t>
                  </w:r>
                  <w:r w:rsidRPr="001D015A">
                    <w:rPr>
                      <w:rFonts w:eastAsia="Malgun Gothic"/>
                      <w:sz w:val="20"/>
                      <w:szCs w:val="14"/>
                    </w:rPr>
                    <w:t xml:space="preserve">                 </w:t>
                  </w:r>
                  <w:r w:rsidRPr="001D015A">
                    <w:rPr>
                      <w:sz w:val="20"/>
                    </w:rPr>
                    <w:t>P0’: gNB/eNB</w:t>
                  </w:r>
                </w:p>
                <w:p w14:paraId="621C772D" w14:textId="77777777" w:rsidR="001D015A" w:rsidRPr="001D015A" w:rsidRDefault="001D015A" w:rsidP="001D015A">
                  <w:pPr>
                    <w:spacing w:after="0" w:line="276" w:lineRule="auto"/>
                    <w:rPr>
                      <w:sz w:val="20"/>
                    </w:rPr>
                  </w:pPr>
                  <w:r w:rsidRPr="001D015A">
                    <w:rPr>
                      <w:sz w:val="20"/>
                    </w:rPr>
                    <w:t>•</w:t>
                  </w:r>
                  <w:r w:rsidRPr="001D015A">
                    <w:rPr>
                      <w:rFonts w:eastAsia="Malgun Gothic"/>
                      <w:sz w:val="20"/>
                      <w:szCs w:val="14"/>
                    </w:rPr>
                    <w:t xml:space="preserve">                 </w:t>
                  </w:r>
                  <w:r w:rsidRPr="001D015A">
                    <w:rPr>
                      <w:sz w:val="20"/>
                    </w:rPr>
                    <w:t xml:space="preserve">P1’: UE directly synchronized to gNB/eNB </w:t>
                  </w:r>
                </w:p>
                <w:p w14:paraId="7914DBF3" w14:textId="77777777" w:rsidR="001D015A" w:rsidRPr="001D015A" w:rsidRDefault="001D015A" w:rsidP="001D015A">
                  <w:pPr>
                    <w:spacing w:after="0" w:line="276" w:lineRule="auto"/>
                    <w:rPr>
                      <w:sz w:val="20"/>
                    </w:rPr>
                  </w:pPr>
                  <w:r w:rsidRPr="001D015A">
                    <w:rPr>
                      <w:sz w:val="20"/>
                    </w:rPr>
                    <w:t>•</w:t>
                  </w:r>
                  <w:r w:rsidRPr="001D015A">
                    <w:rPr>
                      <w:rFonts w:eastAsia="Malgun Gothic"/>
                      <w:sz w:val="20"/>
                      <w:szCs w:val="14"/>
                    </w:rPr>
                    <w:t xml:space="preserve">                 </w:t>
                  </w:r>
                  <w:r w:rsidRPr="001D015A">
                    <w:rPr>
                      <w:sz w:val="20"/>
                    </w:rPr>
                    <w:t xml:space="preserve">P2’: UE indirectly synchronized to gNB/eNB </w:t>
                  </w:r>
                </w:p>
                <w:p w14:paraId="3046FAFB" w14:textId="77777777" w:rsidR="001D015A" w:rsidRPr="001D015A" w:rsidRDefault="001D015A" w:rsidP="001D015A">
                  <w:pPr>
                    <w:spacing w:after="0" w:line="276" w:lineRule="auto"/>
                    <w:rPr>
                      <w:sz w:val="20"/>
                    </w:rPr>
                  </w:pPr>
                  <w:r w:rsidRPr="001D015A">
                    <w:rPr>
                      <w:sz w:val="20"/>
                    </w:rPr>
                    <w:t>•</w:t>
                  </w:r>
                  <w:r w:rsidRPr="001D015A">
                    <w:rPr>
                      <w:rFonts w:eastAsia="Malgun Gothic"/>
                      <w:sz w:val="20"/>
                      <w:szCs w:val="14"/>
                    </w:rPr>
                    <w:t xml:space="preserve">                 </w:t>
                  </w:r>
                  <w:r w:rsidRPr="001D015A">
                    <w:rPr>
                      <w:sz w:val="20"/>
                    </w:rPr>
                    <w:t xml:space="preserve">P3’: GNSS </w:t>
                  </w:r>
                </w:p>
                <w:p w14:paraId="2E1732D8" w14:textId="77777777" w:rsidR="001D015A" w:rsidRPr="001D015A" w:rsidRDefault="001D015A" w:rsidP="001D015A">
                  <w:pPr>
                    <w:spacing w:after="0" w:line="276" w:lineRule="auto"/>
                    <w:rPr>
                      <w:sz w:val="20"/>
                    </w:rPr>
                  </w:pPr>
                  <w:r w:rsidRPr="001D015A">
                    <w:rPr>
                      <w:sz w:val="20"/>
                    </w:rPr>
                    <w:t>•</w:t>
                  </w:r>
                  <w:r w:rsidRPr="001D015A">
                    <w:rPr>
                      <w:rFonts w:eastAsia="Malgun Gothic"/>
                      <w:sz w:val="20"/>
                      <w:szCs w:val="14"/>
                    </w:rPr>
                    <w:t xml:space="preserve">                 </w:t>
                  </w:r>
                  <w:r w:rsidRPr="001D015A">
                    <w:rPr>
                      <w:sz w:val="20"/>
                    </w:rPr>
                    <w:t xml:space="preserve">P4’: UE directly synchronized to GNSS </w:t>
                  </w:r>
                </w:p>
                <w:p w14:paraId="4B066322" w14:textId="77777777" w:rsidR="001D015A" w:rsidRPr="001D015A" w:rsidRDefault="001D015A" w:rsidP="001D015A">
                  <w:pPr>
                    <w:spacing w:after="0" w:line="276" w:lineRule="auto"/>
                    <w:rPr>
                      <w:sz w:val="20"/>
                    </w:rPr>
                  </w:pPr>
                  <w:r w:rsidRPr="001D015A">
                    <w:rPr>
                      <w:sz w:val="20"/>
                    </w:rPr>
                    <w:t>•</w:t>
                  </w:r>
                  <w:r w:rsidRPr="001D015A">
                    <w:rPr>
                      <w:rFonts w:eastAsia="Malgun Gothic"/>
                      <w:sz w:val="20"/>
                      <w:szCs w:val="14"/>
                    </w:rPr>
                    <w:t xml:space="preserve">                 </w:t>
                  </w:r>
                  <w:r w:rsidRPr="001D015A">
                    <w:rPr>
                      <w:sz w:val="20"/>
                    </w:rPr>
                    <w:t>P5’: UE indirectly synchronized to GNSS</w:t>
                  </w:r>
                </w:p>
                <w:p w14:paraId="4F15E0F3" w14:textId="77777777" w:rsidR="001D015A" w:rsidRPr="001D015A" w:rsidRDefault="001D015A" w:rsidP="001D015A">
                  <w:pPr>
                    <w:spacing w:after="0" w:line="276" w:lineRule="auto"/>
                    <w:rPr>
                      <w:rFonts w:eastAsia="宋体"/>
                      <w:sz w:val="20"/>
                      <w:szCs w:val="24"/>
                    </w:rPr>
                  </w:pPr>
                  <w:r w:rsidRPr="001D015A">
                    <w:rPr>
                      <w:sz w:val="20"/>
                    </w:rPr>
                    <w:t>•</w:t>
                  </w:r>
                  <w:r w:rsidRPr="001D015A">
                    <w:rPr>
                      <w:rFonts w:eastAsia="Malgun Gothic"/>
                      <w:sz w:val="20"/>
                      <w:szCs w:val="14"/>
                    </w:rPr>
                    <w:t xml:space="preserve">                 </w:t>
                  </w:r>
                  <w:r w:rsidRPr="001D015A">
                    <w:rPr>
                      <w:sz w:val="20"/>
                    </w:rPr>
                    <w:t xml:space="preserve">P6’: the remaining UEs have the lowest priority. </w:t>
                  </w:r>
                </w:p>
              </w:tc>
            </w:tr>
          </w:tbl>
          <w:p w14:paraId="5C34F6E4" w14:textId="297F5160" w:rsidR="00E27536" w:rsidRDefault="001D015A" w:rsidP="0005789B">
            <w:pPr>
              <w:pStyle w:val="Default"/>
              <w:jc w:val="both"/>
              <w:rPr>
                <w:rFonts w:asciiTheme="minorHAnsi" w:eastAsiaTheme="minorEastAsia" w:hAnsiTheme="minorHAnsi" w:cstheme="minorBidi"/>
                <w:color w:val="auto"/>
                <w:sz w:val="22"/>
                <w:szCs w:val="22"/>
              </w:rPr>
            </w:pPr>
            <w:r w:rsidRPr="001D015A">
              <w:rPr>
                <w:rFonts w:asciiTheme="minorHAnsi" w:eastAsia="Malgun Gothic" w:hAnsiTheme="minorHAnsi" w:cstheme="minorBidi"/>
                <w:color w:val="auto"/>
                <w:sz w:val="20"/>
                <w:szCs w:val="20"/>
                <w:lang w:val="en-GB" w:eastAsia="en-US"/>
              </w:rPr>
              <w:t>When GNSS-based synchronization is (pre-)configured, it is also supported to disable the use of P3, P4, P5 by (pre-)configuration (i.e., a UE skips P3, P4, P5 in synchronization reference selection procedure). Details are up to RAN2</w:t>
            </w:r>
            <w:r w:rsidRPr="001D015A">
              <w:rPr>
                <w:rFonts w:asciiTheme="minorHAnsi" w:eastAsia="Malgun Gothic" w:hAnsiTheme="minorHAnsi" w:cstheme="minorBidi" w:hint="eastAsia"/>
                <w:color w:val="auto"/>
                <w:sz w:val="20"/>
                <w:szCs w:val="20"/>
                <w:lang w:val="en-GB" w:eastAsia="en-US"/>
              </w:rPr>
              <w:t>.</w:t>
            </w:r>
          </w:p>
        </w:tc>
      </w:tr>
    </w:tbl>
    <w:p w14:paraId="01842F16" w14:textId="77777777" w:rsidR="00E27536" w:rsidRDefault="00E27536" w:rsidP="00E27536">
      <w:pPr>
        <w:pStyle w:val="Default"/>
        <w:jc w:val="both"/>
        <w:rPr>
          <w:rFonts w:asciiTheme="minorHAnsi" w:eastAsiaTheme="minorEastAsia" w:hAnsiTheme="minorHAnsi" w:cstheme="minorBidi"/>
          <w:color w:val="auto"/>
          <w:sz w:val="22"/>
          <w:szCs w:val="22"/>
        </w:rPr>
      </w:pPr>
    </w:p>
    <w:p w14:paraId="470F17DD" w14:textId="47EBD6A3" w:rsidR="00E27536" w:rsidRPr="00001D03" w:rsidRDefault="00E27536" w:rsidP="005C2E8E">
      <w:pPr>
        <w:pStyle w:val="Default"/>
        <w:spacing w:before="120"/>
        <w:jc w:val="both"/>
        <w:rPr>
          <w:rFonts w:asciiTheme="minorHAnsi" w:eastAsiaTheme="minorEastAsia" w:hAnsiTheme="minorHAnsi" w:cstheme="minorBidi"/>
          <w:color w:val="auto"/>
          <w:sz w:val="22"/>
          <w:szCs w:val="22"/>
        </w:rPr>
      </w:pPr>
      <w:r w:rsidRPr="00001D03">
        <w:rPr>
          <w:rFonts w:asciiTheme="minorHAnsi" w:eastAsiaTheme="minorEastAsia" w:hAnsiTheme="minorHAnsi" w:cstheme="minorBidi"/>
          <w:color w:val="auto"/>
          <w:sz w:val="22"/>
          <w:szCs w:val="22"/>
        </w:rPr>
        <w:t xml:space="preserve">In RAN4 #92 meeting, some questions are raised on how to </w:t>
      </w:r>
      <w:r w:rsidRPr="00001D03">
        <w:rPr>
          <w:rFonts w:asciiTheme="minorHAnsi" w:hAnsiTheme="minorHAnsi" w:cstheme="minorHAnsi"/>
          <w:sz w:val="22"/>
          <w:szCs w:val="22"/>
        </w:rPr>
        <w:t>choose gNB or eNB as synchronization reference source when they’re in the same priority</w:t>
      </w:r>
      <w:r w:rsidRPr="00001D03">
        <w:rPr>
          <w:rFonts w:asciiTheme="minorHAnsi" w:eastAsiaTheme="minorEastAsia" w:hAnsiTheme="minorHAnsi" w:cstheme="minorBidi"/>
          <w:color w:val="auto"/>
          <w:sz w:val="22"/>
          <w:szCs w:val="22"/>
        </w:rPr>
        <w:t>, but it still has no consensus on this issue. The detailed WF is shown as follow.</w:t>
      </w:r>
    </w:p>
    <w:tbl>
      <w:tblPr>
        <w:tblStyle w:val="af4"/>
        <w:tblW w:w="0" w:type="auto"/>
        <w:tblLook w:val="04A0" w:firstRow="1" w:lastRow="0" w:firstColumn="1" w:lastColumn="0" w:noHBand="0" w:noVBand="1"/>
      </w:tblPr>
      <w:tblGrid>
        <w:gridCol w:w="9629"/>
      </w:tblGrid>
      <w:tr w:rsidR="00E27536" w14:paraId="335A1AF8" w14:textId="77777777" w:rsidTr="0005789B">
        <w:tc>
          <w:tcPr>
            <w:tcW w:w="9629" w:type="dxa"/>
          </w:tcPr>
          <w:p w14:paraId="6E5DDAC6" w14:textId="77777777" w:rsidR="008E4CBD" w:rsidRPr="001B6C6D" w:rsidRDefault="005C54FF" w:rsidP="005C54FF">
            <w:pPr>
              <w:pStyle w:val="Default"/>
              <w:numPr>
                <w:ilvl w:val="0"/>
                <w:numId w:val="10"/>
              </w:numPr>
              <w:jc w:val="both"/>
              <w:rPr>
                <w:rFonts w:asciiTheme="minorHAnsi" w:hAnsiTheme="minorHAnsi" w:cstheme="minorHAnsi"/>
                <w:sz w:val="20"/>
              </w:rPr>
            </w:pPr>
            <w:r w:rsidRPr="001B6C6D">
              <w:rPr>
                <w:rFonts w:asciiTheme="minorHAnsi" w:hAnsiTheme="minorHAnsi" w:cstheme="minorHAnsi"/>
                <w:sz w:val="20"/>
              </w:rPr>
              <w:t>Initiation/cease of SLSS transmission</w:t>
            </w:r>
          </w:p>
          <w:p w14:paraId="219ECEA0" w14:textId="77777777" w:rsidR="008E4CBD" w:rsidRPr="00B64CD4" w:rsidRDefault="005C54FF" w:rsidP="005C54FF">
            <w:pPr>
              <w:pStyle w:val="Default"/>
              <w:numPr>
                <w:ilvl w:val="1"/>
                <w:numId w:val="10"/>
              </w:numPr>
              <w:jc w:val="both"/>
              <w:rPr>
                <w:rFonts w:asciiTheme="minorHAnsi" w:hAnsiTheme="minorHAnsi" w:cstheme="minorHAnsi"/>
                <w:sz w:val="20"/>
                <w:highlight w:val="yellow"/>
                <w:lang w:val="en-GB"/>
              </w:rPr>
            </w:pPr>
            <w:r w:rsidRPr="00B64CD4">
              <w:rPr>
                <w:rFonts w:asciiTheme="minorHAnsi" w:hAnsiTheme="minorHAnsi" w:cstheme="minorHAnsi"/>
                <w:sz w:val="20"/>
                <w:highlight w:val="yellow"/>
                <w:lang w:val="en-GB"/>
              </w:rPr>
              <w:t xml:space="preserve">When NR serving cell is used as synchronization reference source, evaluation time is [X] times of NR intra-frequency measurement time. </w:t>
            </w:r>
          </w:p>
          <w:p w14:paraId="29134DF5" w14:textId="77777777" w:rsidR="00E27536" w:rsidRPr="00183F1D" w:rsidRDefault="00E27536" w:rsidP="005C54FF">
            <w:pPr>
              <w:pStyle w:val="Default"/>
              <w:numPr>
                <w:ilvl w:val="0"/>
                <w:numId w:val="10"/>
              </w:numPr>
              <w:jc w:val="both"/>
              <w:rPr>
                <w:rFonts w:asciiTheme="minorHAnsi" w:hAnsiTheme="minorHAnsi" w:cstheme="minorHAnsi"/>
                <w:sz w:val="20"/>
              </w:rPr>
            </w:pPr>
            <w:r w:rsidRPr="00183F1D">
              <w:rPr>
                <w:rFonts w:asciiTheme="minorHAnsi" w:hAnsiTheme="minorHAnsi" w:cstheme="minorHAnsi"/>
                <w:sz w:val="20"/>
              </w:rPr>
              <w:t>Selection/Reselection to</w:t>
            </w:r>
            <w:r w:rsidRPr="00183F1D">
              <w:rPr>
                <w:rFonts w:asciiTheme="minorHAnsi" w:hAnsiTheme="minorHAnsi" w:cstheme="minorHAnsi"/>
                <w:sz w:val="20"/>
                <w:lang w:val="en-GB"/>
              </w:rPr>
              <w:t xml:space="preserve"> gNB or eNB in EN-DC or NE-DC</w:t>
            </w:r>
          </w:p>
          <w:p w14:paraId="64A278AF" w14:textId="77777777" w:rsidR="00E27536" w:rsidRPr="00183F1D" w:rsidRDefault="00E27536" w:rsidP="005C54FF">
            <w:pPr>
              <w:pStyle w:val="Default"/>
              <w:numPr>
                <w:ilvl w:val="1"/>
                <w:numId w:val="10"/>
              </w:numPr>
              <w:jc w:val="both"/>
              <w:rPr>
                <w:rFonts w:asciiTheme="minorHAnsi" w:hAnsiTheme="minorHAnsi" w:cstheme="minorHAnsi"/>
                <w:sz w:val="20"/>
              </w:rPr>
            </w:pPr>
            <w:r w:rsidRPr="00183F1D">
              <w:rPr>
                <w:rFonts w:asciiTheme="minorHAnsi" w:hAnsiTheme="minorHAnsi" w:cstheme="minorHAnsi"/>
                <w:sz w:val="20"/>
                <w:lang w:val="en-GB"/>
              </w:rPr>
              <w:t xml:space="preserve">Study potential RRM impact for following sub-bullets from RAN4 perspective </w:t>
            </w:r>
          </w:p>
          <w:p w14:paraId="47FCB2C2" w14:textId="77777777" w:rsidR="00E27536" w:rsidRPr="00E27536" w:rsidRDefault="00E27536" w:rsidP="005C54FF">
            <w:pPr>
              <w:pStyle w:val="Default"/>
              <w:numPr>
                <w:ilvl w:val="2"/>
                <w:numId w:val="10"/>
              </w:numPr>
              <w:jc w:val="both"/>
              <w:rPr>
                <w:rFonts w:asciiTheme="minorHAnsi" w:hAnsiTheme="minorHAnsi" w:cstheme="minorHAnsi"/>
                <w:sz w:val="20"/>
                <w:highlight w:val="yellow"/>
              </w:rPr>
            </w:pPr>
            <w:r w:rsidRPr="00E27536">
              <w:rPr>
                <w:rFonts w:asciiTheme="minorHAnsi" w:hAnsiTheme="minorHAnsi" w:cstheme="minorHAnsi"/>
                <w:sz w:val="20"/>
                <w:highlight w:val="yellow"/>
              </w:rPr>
              <w:t xml:space="preserve">how to choose gNB or eNB as synchronization reference source when they’re in the same priority, and </w:t>
            </w:r>
          </w:p>
          <w:p w14:paraId="44628681" w14:textId="77777777" w:rsidR="00E27536" w:rsidRPr="00E27536" w:rsidRDefault="00E27536" w:rsidP="005C54FF">
            <w:pPr>
              <w:pStyle w:val="Default"/>
              <w:numPr>
                <w:ilvl w:val="2"/>
                <w:numId w:val="10"/>
              </w:numPr>
              <w:jc w:val="both"/>
              <w:rPr>
                <w:rFonts w:asciiTheme="minorHAnsi" w:hAnsiTheme="minorHAnsi" w:cstheme="minorHAnsi"/>
                <w:sz w:val="20"/>
                <w:highlight w:val="yellow"/>
              </w:rPr>
            </w:pPr>
            <w:r w:rsidRPr="00E27536">
              <w:rPr>
                <w:rFonts w:asciiTheme="minorHAnsi" w:hAnsiTheme="minorHAnsi" w:cstheme="minorHAnsi"/>
                <w:sz w:val="20"/>
                <w:highlight w:val="yellow"/>
              </w:rPr>
              <w:t>how to choose serving cell as synchronization reference source when multiple active serving cells under the same RAT(NR or LTE) are configured as candidate synchronization reference sources</w:t>
            </w:r>
          </w:p>
          <w:p w14:paraId="12CEEE63" w14:textId="77777777" w:rsidR="00E27536" w:rsidRPr="00E27536" w:rsidRDefault="00E27536" w:rsidP="005C54FF">
            <w:pPr>
              <w:pStyle w:val="Default"/>
              <w:numPr>
                <w:ilvl w:val="2"/>
                <w:numId w:val="10"/>
              </w:numPr>
              <w:jc w:val="both"/>
              <w:rPr>
                <w:rFonts w:asciiTheme="minorHAnsi" w:hAnsiTheme="minorHAnsi" w:cstheme="minorHAnsi"/>
                <w:sz w:val="20"/>
              </w:rPr>
            </w:pPr>
            <w:r w:rsidRPr="00E27536">
              <w:rPr>
                <w:rFonts w:asciiTheme="minorHAnsi" w:hAnsiTheme="minorHAnsi" w:cstheme="minorHAnsi"/>
                <w:sz w:val="20"/>
                <w:lang w:val="en-GB"/>
              </w:rPr>
              <w:t xml:space="preserve">how to facilitate the communication between UEs that synchronized to asynchronized synchronization reference sources. </w:t>
            </w:r>
          </w:p>
          <w:p w14:paraId="2A665866" w14:textId="3EA60342" w:rsidR="00E27536" w:rsidRDefault="00E27536" w:rsidP="005C54FF">
            <w:pPr>
              <w:pStyle w:val="Default"/>
              <w:numPr>
                <w:ilvl w:val="1"/>
                <w:numId w:val="10"/>
              </w:numPr>
              <w:jc w:val="both"/>
              <w:rPr>
                <w:rFonts w:asciiTheme="minorHAnsi" w:eastAsiaTheme="minorEastAsia" w:hAnsiTheme="minorHAnsi" w:cstheme="minorBidi"/>
                <w:color w:val="auto"/>
                <w:sz w:val="22"/>
                <w:szCs w:val="22"/>
              </w:rPr>
            </w:pPr>
            <w:r w:rsidRPr="00183F1D">
              <w:rPr>
                <w:rFonts w:asciiTheme="minorHAnsi" w:hAnsiTheme="minorHAnsi" w:cstheme="minorHAnsi"/>
                <w:sz w:val="20"/>
                <w:lang w:val="en-GB"/>
              </w:rPr>
              <w:t>Depending on RAN4 conclusions, RAN4 will inform other WGs if spec. impact to other WGs is identified</w:t>
            </w:r>
            <w:r>
              <w:rPr>
                <w:rFonts w:asciiTheme="minorHAnsi" w:hAnsiTheme="minorHAnsi" w:cstheme="minorHAnsi"/>
                <w:sz w:val="20"/>
                <w:lang w:val="en-GB"/>
              </w:rPr>
              <w:t>.</w:t>
            </w:r>
          </w:p>
        </w:tc>
      </w:tr>
    </w:tbl>
    <w:p w14:paraId="22C974BC" w14:textId="77777777" w:rsidR="00E27536" w:rsidRDefault="00E27536" w:rsidP="00E27536">
      <w:pPr>
        <w:pStyle w:val="Default"/>
        <w:jc w:val="both"/>
        <w:rPr>
          <w:rFonts w:asciiTheme="minorHAnsi" w:eastAsiaTheme="minorEastAsia" w:hAnsiTheme="minorHAnsi" w:cstheme="minorBidi"/>
          <w:color w:val="auto"/>
          <w:sz w:val="22"/>
          <w:szCs w:val="22"/>
        </w:rPr>
      </w:pPr>
    </w:p>
    <w:p w14:paraId="25902591" w14:textId="300D46E0" w:rsidR="00E27536" w:rsidRPr="00842EE0" w:rsidRDefault="00E27536" w:rsidP="00E27536">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t>
      </w:r>
      <w:r>
        <w:rPr>
          <w:rFonts w:asciiTheme="minorHAnsi" w:eastAsiaTheme="minorEastAsia" w:hAnsiTheme="minorHAnsi" w:cstheme="minorBidi"/>
          <w:color w:val="auto"/>
          <w:sz w:val="22"/>
          <w:szCs w:val="22"/>
        </w:rPr>
        <w:t>we will discuss on</w:t>
      </w:r>
      <w:r w:rsidR="00AF429C">
        <w:rPr>
          <w:rFonts w:asciiTheme="minorHAnsi" w:eastAsiaTheme="minorEastAsia" w:hAnsiTheme="minorHAnsi" w:cstheme="minorBidi"/>
          <w:color w:val="auto"/>
          <w:sz w:val="22"/>
          <w:szCs w:val="22"/>
        </w:rPr>
        <w:t xml:space="preserve"> how to choose syncRef source when there are multiple candidate syncRef sources. Next, we will discuss the framework on initiation of SLSS transmission.</w:t>
      </w:r>
    </w:p>
    <w:p w14:paraId="501F3B3C" w14:textId="2F2CD736" w:rsidR="0041654A" w:rsidRPr="0041654A" w:rsidRDefault="00126E6E" w:rsidP="005C54FF">
      <w:pPr>
        <w:pStyle w:val="1"/>
        <w:numPr>
          <w:ilvl w:val="0"/>
          <w:numId w:val="1"/>
        </w:numPr>
        <w:rPr>
          <w:rFonts w:ascii="Calibri" w:hAnsi="Calibri"/>
          <w:b/>
          <w:sz w:val="28"/>
          <w:u w:val="single"/>
        </w:rPr>
      </w:pPr>
      <w:r>
        <w:rPr>
          <w:rFonts w:ascii="Calibri" w:hAnsi="Calibri"/>
        </w:rPr>
        <w:lastRenderedPageBreak/>
        <w:t>Reselection the S</w:t>
      </w:r>
      <w:r>
        <w:rPr>
          <w:rFonts w:ascii="Calibri" w:hAnsi="Calibri" w:hint="eastAsia"/>
          <w:lang w:eastAsia="zh-CN"/>
        </w:rPr>
        <w:t>ynchronization</w:t>
      </w:r>
      <w:r>
        <w:rPr>
          <w:rFonts w:ascii="Calibri" w:hAnsi="Calibri"/>
          <w:lang w:eastAsia="zh-CN"/>
        </w:rPr>
        <w:t xml:space="preserve"> Reference Source</w:t>
      </w:r>
      <w:r w:rsidR="0041654A" w:rsidRPr="005C2E8E">
        <w:rPr>
          <w:rFonts w:ascii="Calibri" w:hAnsi="Calibri"/>
        </w:rPr>
        <w:t xml:space="preserve"> in EN-DC/NE-DC network</w:t>
      </w:r>
    </w:p>
    <w:p w14:paraId="08485234" w14:textId="2A44303D" w:rsidR="004128BE" w:rsidRPr="00CF7691" w:rsidRDefault="00126E6E" w:rsidP="0041654A">
      <w:pPr>
        <w:jc w:val="both"/>
        <w:rPr>
          <w:lang w:val="en-GB" w:eastAsia="en-US"/>
        </w:rPr>
      </w:pPr>
      <w:r w:rsidRPr="00CF7691">
        <w:rPr>
          <w:lang w:val="en-GB" w:eastAsia="en-US"/>
        </w:rPr>
        <w:t>In legacy LTE, when UE select</w:t>
      </w:r>
      <w:r w:rsidR="00883FB0">
        <w:rPr>
          <w:lang w:val="en-GB" w:eastAsia="en-US"/>
        </w:rPr>
        <w:t>s</w:t>
      </w:r>
      <w:r w:rsidRPr="00CF7691">
        <w:rPr>
          <w:lang w:val="en-GB" w:eastAsia="en-US"/>
        </w:rPr>
        <w:t xml:space="preserve"> a cell used for synchronization reference and DL measurements, UE should select the intra-frequency cell within the frequency used to transmit the V2X sidelink communication when UE is in coverage of the frequency. Otherwise, UE will select the PCell or the serving cell as synchronization reference when UE is out if coverage.</w:t>
      </w:r>
    </w:p>
    <w:tbl>
      <w:tblPr>
        <w:tblStyle w:val="af4"/>
        <w:tblW w:w="0" w:type="auto"/>
        <w:tblLook w:val="04A0" w:firstRow="1" w:lastRow="0" w:firstColumn="1" w:lastColumn="0" w:noHBand="0" w:noVBand="1"/>
      </w:tblPr>
      <w:tblGrid>
        <w:gridCol w:w="9629"/>
      </w:tblGrid>
      <w:tr w:rsidR="004128BE" w14:paraId="15A7C9E2" w14:textId="77777777" w:rsidTr="004128BE">
        <w:tc>
          <w:tcPr>
            <w:tcW w:w="9629" w:type="dxa"/>
          </w:tcPr>
          <w:p w14:paraId="0C29E4BB" w14:textId="77777777" w:rsidR="004128BE" w:rsidRPr="004128BE" w:rsidRDefault="004128BE" w:rsidP="004128BE">
            <w:pPr>
              <w:autoSpaceDE w:val="0"/>
              <w:autoSpaceDN w:val="0"/>
              <w:adjustRightInd w:val="0"/>
              <w:spacing w:after="0" w:line="240" w:lineRule="auto"/>
              <w:rPr>
                <w:rFonts w:ascii="Times New Roman" w:eastAsia="宋体" w:hAnsi="Times New Roman" w:cs="Times New Roman"/>
                <w:color w:val="000000"/>
                <w:sz w:val="20"/>
                <w:szCs w:val="20"/>
              </w:rPr>
            </w:pPr>
            <w:r w:rsidRPr="004128BE">
              <w:rPr>
                <w:rFonts w:ascii="Times New Roman" w:eastAsia="宋体" w:hAnsi="Times New Roman" w:cs="Times New Roman"/>
                <w:color w:val="000000"/>
                <w:sz w:val="20"/>
                <w:szCs w:val="20"/>
              </w:rPr>
              <w:t xml:space="preserve">A UE capable of V2X sidelink communication that is configured by upper layers to transmit V2X sidelink communication shall: </w:t>
            </w:r>
          </w:p>
          <w:p w14:paraId="3E389EB8" w14:textId="77777777" w:rsidR="004128BE" w:rsidRPr="004128BE" w:rsidRDefault="004128BE" w:rsidP="004128BE">
            <w:pPr>
              <w:autoSpaceDE w:val="0"/>
              <w:autoSpaceDN w:val="0"/>
              <w:adjustRightInd w:val="0"/>
              <w:spacing w:after="0" w:line="240" w:lineRule="auto"/>
              <w:rPr>
                <w:rFonts w:ascii="Times New Roman" w:eastAsia="宋体" w:hAnsi="Times New Roman" w:cs="Times New Roman"/>
                <w:color w:val="000000"/>
                <w:sz w:val="20"/>
                <w:szCs w:val="20"/>
              </w:rPr>
            </w:pPr>
            <w:r w:rsidRPr="004128BE">
              <w:rPr>
                <w:rFonts w:ascii="Times New Roman" w:eastAsia="宋体" w:hAnsi="Times New Roman" w:cs="Times New Roman"/>
                <w:color w:val="000000"/>
                <w:sz w:val="20"/>
                <w:szCs w:val="20"/>
              </w:rPr>
              <w:t xml:space="preserve">1&gt; for each frequency used to transmit V2X sidelink communication, select a cell to be used as reference for synchronisation and DL measurements in accordance with the following: </w:t>
            </w:r>
          </w:p>
          <w:p w14:paraId="1D2DC8F2" w14:textId="77777777" w:rsidR="004128BE" w:rsidRPr="004128BE" w:rsidRDefault="004128BE" w:rsidP="004128BE">
            <w:pPr>
              <w:autoSpaceDE w:val="0"/>
              <w:autoSpaceDN w:val="0"/>
              <w:adjustRightInd w:val="0"/>
              <w:spacing w:after="0" w:line="240" w:lineRule="auto"/>
              <w:ind w:left="284"/>
              <w:rPr>
                <w:rFonts w:ascii="Times New Roman" w:eastAsia="宋体" w:hAnsi="Times New Roman" w:cs="Times New Roman"/>
                <w:color w:val="000000"/>
                <w:sz w:val="20"/>
                <w:szCs w:val="20"/>
              </w:rPr>
            </w:pPr>
            <w:r w:rsidRPr="004128BE">
              <w:rPr>
                <w:rFonts w:ascii="Times New Roman" w:eastAsia="宋体" w:hAnsi="Times New Roman" w:cs="Times New Roman"/>
                <w:color w:val="000000"/>
                <w:sz w:val="20"/>
                <w:szCs w:val="20"/>
              </w:rPr>
              <w:t xml:space="preserve">2&gt; if the frequency concerns the primary frequency: </w:t>
            </w:r>
          </w:p>
          <w:p w14:paraId="0082A610" w14:textId="77777777" w:rsidR="004128BE" w:rsidRPr="004128BE" w:rsidRDefault="004128BE" w:rsidP="004128BE">
            <w:pPr>
              <w:autoSpaceDE w:val="0"/>
              <w:autoSpaceDN w:val="0"/>
              <w:adjustRightInd w:val="0"/>
              <w:spacing w:after="0" w:line="240" w:lineRule="auto"/>
              <w:ind w:left="568"/>
              <w:rPr>
                <w:rFonts w:ascii="Times New Roman" w:eastAsia="宋体" w:hAnsi="Times New Roman" w:cs="Times New Roman"/>
                <w:color w:val="000000"/>
                <w:sz w:val="20"/>
                <w:szCs w:val="20"/>
              </w:rPr>
            </w:pPr>
            <w:r w:rsidRPr="004128BE">
              <w:rPr>
                <w:rFonts w:ascii="Times New Roman" w:eastAsia="宋体" w:hAnsi="Times New Roman" w:cs="Times New Roman"/>
                <w:color w:val="000000"/>
                <w:sz w:val="20"/>
                <w:szCs w:val="20"/>
              </w:rPr>
              <w:t xml:space="preserve">3&gt; use the PCell (RRC_CONNECTED) or the serving cell (RRC_IDLE) as reference; </w:t>
            </w:r>
          </w:p>
          <w:p w14:paraId="2F29657E" w14:textId="77777777" w:rsidR="004128BE" w:rsidRPr="004128BE" w:rsidRDefault="004128BE" w:rsidP="004128BE">
            <w:pPr>
              <w:autoSpaceDE w:val="0"/>
              <w:autoSpaceDN w:val="0"/>
              <w:adjustRightInd w:val="0"/>
              <w:spacing w:after="0" w:line="240" w:lineRule="auto"/>
              <w:ind w:left="284"/>
              <w:rPr>
                <w:rFonts w:ascii="Times New Roman" w:eastAsia="宋体" w:hAnsi="Times New Roman" w:cs="Times New Roman"/>
                <w:color w:val="000000"/>
                <w:sz w:val="20"/>
                <w:szCs w:val="20"/>
              </w:rPr>
            </w:pPr>
            <w:r w:rsidRPr="004128BE">
              <w:rPr>
                <w:rFonts w:ascii="Times New Roman" w:eastAsia="宋体" w:hAnsi="Times New Roman" w:cs="Times New Roman"/>
                <w:color w:val="000000"/>
                <w:sz w:val="20"/>
                <w:szCs w:val="20"/>
              </w:rPr>
              <w:t xml:space="preserve">2&gt; else if the frequency concerns a secondary frequency: </w:t>
            </w:r>
          </w:p>
          <w:p w14:paraId="622756A8" w14:textId="77777777" w:rsidR="004128BE" w:rsidRPr="004128BE" w:rsidRDefault="004128BE" w:rsidP="004128BE">
            <w:pPr>
              <w:autoSpaceDE w:val="0"/>
              <w:autoSpaceDN w:val="0"/>
              <w:adjustRightInd w:val="0"/>
              <w:spacing w:after="0" w:line="240" w:lineRule="auto"/>
              <w:ind w:left="568"/>
              <w:rPr>
                <w:rFonts w:ascii="Times New Roman" w:eastAsia="宋体" w:hAnsi="Times New Roman" w:cs="Times New Roman"/>
                <w:color w:val="000000"/>
                <w:sz w:val="20"/>
                <w:szCs w:val="20"/>
              </w:rPr>
            </w:pPr>
            <w:r w:rsidRPr="004128BE">
              <w:rPr>
                <w:rFonts w:ascii="Times New Roman" w:eastAsia="宋体" w:hAnsi="Times New Roman" w:cs="Times New Roman"/>
                <w:color w:val="000000"/>
                <w:sz w:val="20"/>
                <w:szCs w:val="20"/>
              </w:rPr>
              <w:t xml:space="preserve">3&gt; use the concerned SCell as reference; </w:t>
            </w:r>
          </w:p>
          <w:p w14:paraId="1A34661B" w14:textId="77777777" w:rsidR="004128BE" w:rsidRPr="004128BE" w:rsidRDefault="004128BE" w:rsidP="004128BE">
            <w:pPr>
              <w:autoSpaceDE w:val="0"/>
              <w:autoSpaceDN w:val="0"/>
              <w:adjustRightInd w:val="0"/>
              <w:spacing w:after="0" w:line="240" w:lineRule="auto"/>
              <w:ind w:left="284"/>
              <w:rPr>
                <w:rFonts w:ascii="Times New Roman" w:eastAsia="宋体" w:hAnsi="Times New Roman" w:cs="Times New Roman"/>
                <w:color w:val="000000"/>
                <w:sz w:val="20"/>
                <w:szCs w:val="20"/>
              </w:rPr>
            </w:pPr>
            <w:r w:rsidRPr="004128BE">
              <w:rPr>
                <w:rFonts w:ascii="Times New Roman" w:eastAsia="宋体" w:hAnsi="Times New Roman" w:cs="Times New Roman"/>
                <w:color w:val="000000"/>
                <w:sz w:val="20"/>
                <w:szCs w:val="20"/>
              </w:rPr>
              <w:t xml:space="preserve">2&gt; else if the UE is in coverage of the concerned frequency: </w:t>
            </w:r>
          </w:p>
          <w:p w14:paraId="673DC75D" w14:textId="77777777" w:rsidR="004128BE" w:rsidRPr="004128BE" w:rsidRDefault="004128BE" w:rsidP="004128BE">
            <w:pPr>
              <w:autoSpaceDE w:val="0"/>
              <w:autoSpaceDN w:val="0"/>
              <w:adjustRightInd w:val="0"/>
              <w:spacing w:after="0" w:line="240" w:lineRule="auto"/>
              <w:ind w:left="568"/>
              <w:rPr>
                <w:rFonts w:ascii="Times New Roman" w:eastAsia="宋体" w:hAnsi="Times New Roman" w:cs="Times New Roman"/>
                <w:color w:val="000000"/>
                <w:sz w:val="20"/>
                <w:szCs w:val="20"/>
              </w:rPr>
            </w:pPr>
            <w:r w:rsidRPr="004128BE">
              <w:rPr>
                <w:rFonts w:ascii="Times New Roman" w:eastAsia="宋体" w:hAnsi="Times New Roman" w:cs="Times New Roman"/>
                <w:color w:val="000000"/>
                <w:sz w:val="20"/>
                <w:szCs w:val="20"/>
              </w:rPr>
              <w:t xml:space="preserve">3&gt; use the DL frequency paired with the one used to transmit V2X sidelink communication as reference; </w:t>
            </w:r>
          </w:p>
          <w:p w14:paraId="48162568" w14:textId="77777777" w:rsidR="004128BE" w:rsidRPr="004128BE" w:rsidRDefault="004128BE" w:rsidP="004128BE">
            <w:pPr>
              <w:autoSpaceDE w:val="0"/>
              <w:autoSpaceDN w:val="0"/>
              <w:adjustRightInd w:val="0"/>
              <w:spacing w:after="0" w:line="240" w:lineRule="auto"/>
              <w:ind w:left="284"/>
              <w:rPr>
                <w:rFonts w:ascii="Times New Roman" w:eastAsia="宋体" w:hAnsi="Times New Roman" w:cs="Times New Roman"/>
                <w:color w:val="000000"/>
                <w:sz w:val="20"/>
                <w:szCs w:val="20"/>
              </w:rPr>
            </w:pPr>
            <w:r w:rsidRPr="004128BE">
              <w:rPr>
                <w:rFonts w:ascii="Times New Roman" w:eastAsia="宋体" w:hAnsi="Times New Roman" w:cs="Times New Roman"/>
                <w:color w:val="000000"/>
                <w:sz w:val="20"/>
                <w:szCs w:val="20"/>
              </w:rPr>
              <w:t xml:space="preserve">2&gt; else (i.e., out of coverage on the concerned frequency): </w:t>
            </w:r>
          </w:p>
          <w:p w14:paraId="42E63C65" w14:textId="14A5F2D5" w:rsidR="004128BE" w:rsidRDefault="004128BE" w:rsidP="004128BE">
            <w:pPr>
              <w:ind w:left="568"/>
              <w:jc w:val="both"/>
              <w:rPr>
                <w:rFonts w:cstheme="minorHAnsi"/>
                <w:sz w:val="20"/>
                <w:lang w:val="en-GB"/>
              </w:rPr>
            </w:pPr>
            <w:r w:rsidRPr="004128BE">
              <w:rPr>
                <w:rFonts w:ascii="Times New Roman" w:eastAsia="宋体" w:hAnsi="Times New Roman" w:cs="Times New Roman"/>
                <w:color w:val="000000"/>
                <w:sz w:val="20"/>
                <w:szCs w:val="20"/>
              </w:rPr>
              <w:t>3&gt; use the PCell (RRC_CONNECTED) or the serving cell (RRC_IDLE) as reference, if needed;</w:t>
            </w:r>
          </w:p>
        </w:tc>
      </w:tr>
    </w:tbl>
    <w:p w14:paraId="0667E880" w14:textId="37B7D072" w:rsidR="001D015A" w:rsidRDefault="004128BE" w:rsidP="001D015A">
      <w:pPr>
        <w:spacing w:before="120"/>
        <w:jc w:val="both"/>
        <w:rPr>
          <w:lang w:eastAsia="en-US"/>
        </w:rPr>
      </w:pPr>
      <w:r>
        <w:rPr>
          <w:lang w:val="en-GB" w:eastAsia="en-US"/>
        </w:rPr>
        <w:t xml:space="preserve">From RAN1’s agreement, </w:t>
      </w:r>
      <w:r w:rsidR="00CF7691">
        <w:rPr>
          <w:lang w:val="en-GB" w:eastAsia="en-US"/>
        </w:rPr>
        <w:t xml:space="preserve">in NR, </w:t>
      </w:r>
      <w:r>
        <w:rPr>
          <w:lang w:val="en-GB" w:eastAsia="en-US"/>
        </w:rPr>
        <w:t>both eNB and gNB can be the synchronization source</w:t>
      </w:r>
      <w:r w:rsidR="00CF7691">
        <w:rPr>
          <w:lang w:val="en-GB" w:eastAsia="en-US"/>
        </w:rPr>
        <w:t xml:space="preserve"> and they’re in the same synchronization priority</w:t>
      </w:r>
      <w:r>
        <w:rPr>
          <w:lang w:eastAsia="en-US"/>
        </w:rPr>
        <w:t xml:space="preserve">. </w:t>
      </w:r>
      <w:r w:rsidR="00CF7691">
        <w:rPr>
          <w:lang w:eastAsia="en-US"/>
        </w:rPr>
        <w:t>Thus, i</w:t>
      </w:r>
      <w:r w:rsidR="0041654A">
        <w:rPr>
          <w:lang w:eastAsia="en-US"/>
        </w:rPr>
        <w:t xml:space="preserve">n EN-DC/NE-DC network, </w:t>
      </w:r>
      <w:r w:rsidR="001D015A">
        <w:rPr>
          <w:lang w:eastAsia="en-US"/>
        </w:rPr>
        <w:t>there is an ambiguity on whether</w:t>
      </w:r>
      <w:r w:rsidR="0041654A">
        <w:rPr>
          <w:lang w:eastAsia="en-US"/>
        </w:rPr>
        <w:t xml:space="preserve"> </w:t>
      </w:r>
      <w:r w:rsidR="00B45B7E">
        <w:rPr>
          <w:lang w:eastAsia="en-US"/>
        </w:rPr>
        <w:t>follow</w:t>
      </w:r>
      <w:r w:rsidR="0041654A">
        <w:rPr>
          <w:lang w:eastAsia="en-US"/>
        </w:rPr>
        <w:t xml:space="preserve"> the </w:t>
      </w:r>
      <w:r>
        <w:rPr>
          <w:lang w:eastAsia="en-US"/>
        </w:rPr>
        <w:t xml:space="preserve">above </w:t>
      </w:r>
      <w:r w:rsidR="00CF7691">
        <w:rPr>
          <w:lang w:eastAsia="en-US"/>
        </w:rPr>
        <w:t xml:space="preserve">legacy LTE </w:t>
      </w:r>
      <w:r w:rsidR="0041654A">
        <w:rPr>
          <w:lang w:eastAsia="en-US"/>
        </w:rPr>
        <w:t xml:space="preserve">criteria </w:t>
      </w:r>
      <w:r w:rsidR="001D449B">
        <w:rPr>
          <w:lang w:eastAsia="en-US"/>
        </w:rPr>
        <w:t xml:space="preserve">to always use the PCell as the </w:t>
      </w:r>
      <w:r w:rsidR="001D449B">
        <w:rPr>
          <w:lang w:val="en-GB" w:eastAsia="en-US"/>
        </w:rPr>
        <w:t>synchronization source</w:t>
      </w:r>
      <w:r w:rsidR="00A465C4">
        <w:rPr>
          <w:lang w:val="en-GB" w:eastAsia="en-US"/>
        </w:rPr>
        <w:t xml:space="preserve"> in DC scenario</w:t>
      </w:r>
      <w:r w:rsidR="0041654A">
        <w:rPr>
          <w:lang w:eastAsia="en-US"/>
        </w:rPr>
        <w:t>.</w:t>
      </w:r>
    </w:p>
    <w:p w14:paraId="390AC175" w14:textId="77777777" w:rsidR="00EC6B84" w:rsidRDefault="001D015A" w:rsidP="00711F22">
      <w:pPr>
        <w:spacing w:before="120"/>
        <w:jc w:val="both"/>
        <w:rPr>
          <w:lang w:eastAsia="en-US"/>
        </w:rPr>
      </w:pPr>
      <w:r>
        <w:rPr>
          <w:lang w:eastAsia="en-US"/>
        </w:rPr>
        <w:t>One possible option is that UE will always use gNB cell as the synchronization source because the timing requirement for gNB is better than eNB. UE can obtain better timing based on gNB cell.</w:t>
      </w:r>
      <w:r w:rsidR="00EC6B84">
        <w:rPr>
          <w:lang w:eastAsia="en-US"/>
        </w:rPr>
        <w:t xml:space="preserve"> </w:t>
      </w:r>
    </w:p>
    <w:p w14:paraId="0608D58C" w14:textId="3010D870" w:rsidR="004128BE" w:rsidRDefault="001D015A" w:rsidP="007A2C06">
      <w:pPr>
        <w:spacing w:before="120"/>
        <w:jc w:val="both"/>
        <w:rPr>
          <w:lang w:eastAsia="en-US"/>
        </w:rPr>
      </w:pPr>
      <w:r>
        <w:rPr>
          <w:lang w:eastAsia="en-US"/>
        </w:rPr>
        <w:t xml:space="preserve">Another option is that UE should choose the cell with better RSRP because </w:t>
      </w:r>
      <w:r w:rsidR="00EC6B84">
        <w:rPr>
          <w:lang w:eastAsia="en-US"/>
        </w:rPr>
        <w:t>the cell with better RSRP is more reliable.</w:t>
      </w:r>
      <w:r w:rsidR="0041654A">
        <w:rPr>
          <w:lang w:eastAsia="en-US"/>
        </w:rPr>
        <w:t xml:space="preserve"> For example, there is an EN-DC network in the </w:t>
      </w:r>
      <w:r w:rsidR="0041654A">
        <w:rPr>
          <w:lang w:eastAsia="en-US"/>
        </w:rPr>
        <w:fldChar w:fldCharType="begin"/>
      </w:r>
      <w:r w:rsidR="0041654A">
        <w:rPr>
          <w:lang w:eastAsia="en-US"/>
        </w:rPr>
        <w:instrText xml:space="preserve"> REF _Ref16187541 \h  \* MERGEFORMAT </w:instrText>
      </w:r>
      <w:r w:rsidR="0041654A">
        <w:rPr>
          <w:lang w:eastAsia="en-US"/>
        </w:rPr>
      </w:r>
      <w:r w:rsidR="0041654A">
        <w:rPr>
          <w:lang w:eastAsia="en-US"/>
        </w:rPr>
        <w:fldChar w:fldCharType="separate"/>
      </w:r>
      <w:r w:rsidR="008D3A62" w:rsidRPr="008D3A62">
        <w:rPr>
          <w:lang w:eastAsia="en-US"/>
        </w:rPr>
        <w:t>Figure 1</w:t>
      </w:r>
      <w:r w:rsidR="0041654A">
        <w:rPr>
          <w:lang w:eastAsia="en-US"/>
        </w:rPr>
        <w:fldChar w:fldCharType="end"/>
      </w:r>
      <w:r w:rsidR="0041654A">
        <w:rPr>
          <w:lang w:eastAsia="en-US"/>
        </w:rPr>
        <w:t>. RSRP of gNB</w:t>
      </w:r>
      <w:r w:rsidR="001D449B">
        <w:rPr>
          <w:lang w:eastAsia="en-US"/>
        </w:rPr>
        <w:t>(PSCell)</w:t>
      </w:r>
      <w:r w:rsidR="0041654A">
        <w:rPr>
          <w:lang w:eastAsia="en-US"/>
        </w:rPr>
        <w:t xml:space="preserve"> is obviously better than the RSRP of eNB</w:t>
      </w:r>
      <w:r w:rsidR="001D449B">
        <w:rPr>
          <w:lang w:eastAsia="en-US"/>
        </w:rPr>
        <w:t>(PCell)</w:t>
      </w:r>
      <w:r w:rsidR="0041654A">
        <w:rPr>
          <w:lang w:eastAsia="en-US"/>
        </w:rPr>
        <w:t xml:space="preserve"> for UE-2.</w:t>
      </w:r>
      <w:r w:rsidR="004128BE">
        <w:rPr>
          <w:lang w:eastAsia="en-US"/>
        </w:rPr>
        <w:t xml:space="preserve"> If UE only select</w:t>
      </w:r>
      <w:r w:rsidR="00883FB0">
        <w:rPr>
          <w:lang w:eastAsia="en-US"/>
        </w:rPr>
        <w:t>s</w:t>
      </w:r>
      <w:r w:rsidR="004128BE">
        <w:rPr>
          <w:lang w:eastAsia="en-US"/>
        </w:rPr>
        <w:t xml:space="preserve"> the synchronization source based on PCell, UE</w:t>
      </w:r>
      <w:r w:rsidR="00CF7691">
        <w:rPr>
          <w:lang w:eastAsia="en-US"/>
        </w:rPr>
        <w:t>2</w:t>
      </w:r>
      <w:r w:rsidR="004128BE">
        <w:rPr>
          <w:lang w:eastAsia="en-US"/>
        </w:rPr>
        <w:t xml:space="preserve"> will miss the better synchronization source(gNB).</w:t>
      </w:r>
      <w:r w:rsidR="00CF7691">
        <w:rPr>
          <w:lang w:eastAsia="en-US"/>
        </w:rPr>
        <w:t xml:space="preserve"> </w:t>
      </w:r>
      <w:r w:rsidR="004128BE">
        <w:rPr>
          <w:lang w:eastAsia="en-US"/>
        </w:rPr>
        <w:t xml:space="preserve"> </w:t>
      </w:r>
      <w:r w:rsidR="0041654A">
        <w:rPr>
          <w:lang w:eastAsia="en-US"/>
        </w:rPr>
        <w:t xml:space="preserve"> </w:t>
      </w:r>
    </w:p>
    <w:p w14:paraId="2AE75CB1" w14:textId="57E3E26C" w:rsidR="0004351A" w:rsidRDefault="001D449B" w:rsidP="0041654A">
      <w:pPr>
        <w:jc w:val="both"/>
        <w:rPr>
          <w:lang w:eastAsia="en-US"/>
        </w:rPr>
      </w:pPr>
      <w:r>
        <w:rPr>
          <w:lang w:eastAsia="en-US"/>
        </w:rPr>
        <w:t>If SLSS transmission is based on PCell’s RSRP, UE-2 will transmit the SLSS. However, UE-2 is very close to gNB and do</w:t>
      </w:r>
      <w:r w:rsidR="00927B47">
        <w:rPr>
          <w:lang w:eastAsia="en-US"/>
        </w:rPr>
        <w:t>se</w:t>
      </w:r>
      <w:r>
        <w:rPr>
          <w:lang w:eastAsia="en-US"/>
        </w:rPr>
        <w:t xml:space="preserve">n’t need to transmit the SLSS based on PSCell’s RSRP. SyncRef UE as sync source </w:t>
      </w:r>
      <w:r w:rsidR="006F581E">
        <w:rPr>
          <w:lang w:eastAsia="en-US"/>
        </w:rPr>
        <w:t xml:space="preserve">to transmit SLSS </w:t>
      </w:r>
      <w:r>
        <w:rPr>
          <w:lang w:eastAsia="en-US"/>
        </w:rPr>
        <w:t xml:space="preserve">is a supplement </w:t>
      </w:r>
      <w:r w:rsidR="006F581E">
        <w:rPr>
          <w:lang w:eastAsia="en-US"/>
        </w:rPr>
        <w:t>mechanism of gNB/e</w:t>
      </w:r>
      <w:r>
        <w:rPr>
          <w:lang w:eastAsia="en-US"/>
        </w:rPr>
        <w:t>NB as sync source</w:t>
      </w:r>
      <w:r w:rsidR="006F581E">
        <w:rPr>
          <w:lang w:eastAsia="en-US"/>
        </w:rPr>
        <w:t xml:space="preserve"> and </w:t>
      </w:r>
      <w:r w:rsidR="00B7468F">
        <w:rPr>
          <w:lang w:eastAsia="en-US"/>
        </w:rPr>
        <w:t xml:space="preserve">has </w:t>
      </w:r>
      <w:r w:rsidR="006F581E">
        <w:rPr>
          <w:lang w:eastAsia="en-US"/>
        </w:rPr>
        <w:t xml:space="preserve">lower synchronization priority. </w:t>
      </w:r>
      <w:r w:rsidR="008E052F">
        <w:rPr>
          <w:lang w:eastAsia="en-US"/>
        </w:rPr>
        <w:t xml:space="preserve">The system should be designed to minimize the need to transmit </w:t>
      </w:r>
      <w:r w:rsidR="008E052F" w:rsidRPr="00EE3C54">
        <w:rPr>
          <w:lang w:eastAsia="en-US"/>
        </w:rPr>
        <w:t>S-SSB</w:t>
      </w:r>
      <w:r w:rsidR="008E052F">
        <w:rPr>
          <w:lang w:eastAsia="en-US"/>
        </w:rPr>
        <w:t xml:space="preserve">, because it </w:t>
      </w:r>
      <w:r w:rsidR="00EE3C54">
        <w:rPr>
          <w:lang w:eastAsia="en-US"/>
        </w:rPr>
        <w:t>could increase the additional interference in the SLSS resources</w:t>
      </w:r>
      <w:r w:rsidR="008E052F">
        <w:rPr>
          <w:lang w:eastAsia="en-US"/>
        </w:rPr>
        <w:t xml:space="preserve">. </w:t>
      </w:r>
      <w:r w:rsidR="006F581E">
        <w:rPr>
          <w:lang w:eastAsia="en-US"/>
        </w:rPr>
        <w:t xml:space="preserve">Thus, it’s not </w:t>
      </w:r>
      <w:r w:rsidR="008B2A08">
        <w:rPr>
          <w:lang w:eastAsia="en-US"/>
        </w:rPr>
        <w:t xml:space="preserve">preferred </w:t>
      </w:r>
      <w:r w:rsidR="006F581E">
        <w:rPr>
          <w:lang w:eastAsia="en-US"/>
        </w:rPr>
        <w:t xml:space="preserve">to ask UE-2 to transmit the SLSS. </w:t>
      </w:r>
    </w:p>
    <w:p w14:paraId="798D9147" w14:textId="1ADCC6A8" w:rsidR="002E7C39" w:rsidRDefault="002E7C39" w:rsidP="0041654A">
      <w:pPr>
        <w:jc w:val="both"/>
        <w:rPr>
          <w:lang w:eastAsia="en-US"/>
        </w:rPr>
      </w:pPr>
      <w:r>
        <w:rPr>
          <w:lang w:eastAsia="en-US"/>
        </w:rPr>
        <w:t xml:space="preserve">The third option is that UE will always choose </w:t>
      </w:r>
      <w:r w:rsidR="00921A9F">
        <w:rPr>
          <w:lang w:eastAsia="en-US"/>
        </w:rPr>
        <w:t>fixed base station (e.g., always NR gNB)</w:t>
      </w:r>
      <w:r>
        <w:rPr>
          <w:lang w:eastAsia="en-US"/>
        </w:rPr>
        <w:t xml:space="preserve"> as synchronization source when both gNB and eNB’s RSRP are good enough because the timing requirement for gNB is better than eNB.</w:t>
      </w:r>
      <w:r w:rsidR="007A2C06">
        <w:rPr>
          <w:lang w:eastAsia="en-US"/>
        </w:rPr>
        <w:t xml:space="preserve"> But when any of cell’s RSRP is lower than the threshold, it could believe this cell is unreliable. For example, in the </w:t>
      </w:r>
      <w:r w:rsidR="007A2C06">
        <w:rPr>
          <w:lang w:eastAsia="en-US"/>
        </w:rPr>
        <w:fldChar w:fldCharType="begin"/>
      </w:r>
      <w:r w:rsidR="007A2C06">
        <w:rPr>
          <w:lang w:eastAsia="en-US"/>
        </w:rPr>
        <w:instrText xml:space="preserve"> REF _Ref16187541 \h  \* MERGEFORMAT </w:instrText>
      </w:r>
      <w:r w:rsidR="007A2C06">
        <w:rPr>
          <w:lang w:eastAsia="en-US"/>
        </w:rPr>
      </w:r>
      <w:r w:rsidR="007A2C06">
        <w:rPr>
          <w:lang w:eastAsia="en-US"/>
        </w:rPr>
        <w:fldChar w:fldCharType="separate"/>
      </w:r>
      <w:r w:rsidR="008D3A62" w:rsidRPr="008D3A62">
        <w:rPr>
          <w:lang w:eastAsia="en-US"/>
        </w:rPr>
        <w:t>Figure 1</w:t>
      </w:r>
      <w:r w:rsidR="007A2C06">
        <w:rPr>
          <w:lang w:eastAsia="en-US"/>
        </w:rPr>
        <w:fldChar w:fldCharType="end"/>
      </w:r>
      <w:r w:rsidR="007A2C06">
        <w:rPr>
          <w:lang w:eastAsia="en-US"/>
        </w:rPr>
        <w:t>, both gNB and eNB’s RSRP to UE1 would be worse than a RSRP threshold. In this case, UE will always choose the cell with better RSRP.</w:t>
      </w:r>
    </w:p>
    <w:p w14:paraId="59305133" w14:textId="1CC54B7D" w:rsidR="0041654A" w:rsidRDefault="0004351A" w:rsidP="0004351A">
      <w:pPr>
        <w:jc w:val="center"/>
        <w:rPr>
          <w:lang w:eastAsia="en-US"/>
        </w:rPr>
      </w:pPr>
      <w:r>
        <w:rPr>
          <w:noProof/>
        </w:rPr>
        <w:lastRenderedPageBreak/>
        <w:drawing>
          <wp:inline distT="0" distB="0" distL="0" distR="0" wp14:anchorId="4440FB9E" wp14:editId="4FE63868">
            <wp:extent cx="3252158" cy="1686066"/>
            <wp:effectExtent l="0" t="0" r="0"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0992" cy="1706199"/>
                    </a:xfrm>
                    <a:prstGeom prst="rect">
                      <a:avLst/>
                    </a:prstGeom>
                    <a:noFill/>
                  </pic:spPr>
                </pic:pic>
              </a:graphicData>
            </a:graphic>
          </wp:inline>
        </w:drawing>
      </w:r>
    </w:p>
    <w:p w14:paraId="2047AC71" w14:textId="77777777" w:rsidR="0041654A" w:rsidRPr="00AD1682" w:rsidRDefault="0041654A" w:rsidP="0041654A">
      <w:pPr>
        <w:jc w:val="center"/>
        <w:rPr>
          <w:b/>
          <w:i/>
        </w:rPr>
      </w:pPr>
      <w:bookmarkStart w:id="0" w:name="_Ref16187541"/>
      <w:r w:rsidRPr="00AD1682">
        <w:rPr>
          <w:b/>
          <w:i/>
        </w:rPr>
        <w:t xml:space="preserve">Figure </w:t>
      </w:r>
      <w:r w:rsidRPr="00AD1682">
        <w:rPr>
          <w:b/>
          <w:i/>
        </w:rPr>
        <w:fldChar w:fldCharType="begin"/>
      </w:r>
      <w:r w:rsidRPr="00AD1682">
        <w:rPr>
          <w:b/>
          <w:i/>
        </w:rPr>
        <w:instrText xml:space="preserve"> SEQ Figure \* ARABIC </w:instrText>
      </w:r>
      <w:r w:rsidRPr="00AD1682">
        <w:rPr>
          <w:b/>
          <w:i/>
        </w:rPr>
        <w:fldChar w:fldCharType="separate"/>
      </w:r>
      <w:r w:rsidR="008D3A62">
        <w:rPr>
          <w:b/>
          <w:i/>
          <w:noProof/>
        </w:rPr>
        <w:t>1</w:t>
      </w:r>
      <w:r w:rsidRPr="00AD1682">
        <w:rPr>
          <w:b/>
          <w:i/>
        </w:rPr>
        <w:fldChar w:fldCharType="end"/>
      </w:r>
      <w:bookmarkEnd w:id="0"/>
      <w:r w:rsidRPr="00AD1682">
        <w:rPr>
          <w:b/>
          <w:i/>
        </w:rPr>
        <w:t xml:space="preserve">. </w:t>
      </w:r>
      <w:r w:rsidRPr="00AD1682">
        <w:rPr>
          <w:rFonts w:hint="eastAsia"/>
          <w:b/>
          <w:i/>
        </w:rPr>
        <w:t>An example of S-SSB transmission in an EN-DC scenario</w:t>
      </w:r>
    </w:p>
    <w:p w14:paraId="35E5D8B4" w14:textId="580A1068" w:rsidR="00EC6B84" w:rsidRPr="00711F22" w:rsidRDefault="00EC6B84" w:rsidP="00C166DB">
      <w:pPr>
        <w:jc w:val="both"/>
        <w:rPr>
          <w:b/>
          <w:i/>
        </w:rPr>
      </w:pPr>
      <w:bookmarkStart w:id="1" w:name="_Ref20669724"/>
      <w:bookmarkStart w:id="2" w:name="_Ref19958513"/>
      <w:r w:rsidRPr="00711F22">
        <w:rPr>
          <w:b/>
          <w:i/>
        </w:rPr>
        <w:t>Observation</w:t>
      </w:r>
      <w:r w:rsidR="00C166DB" w:rsidRPr="00711F22">
        <w:rPr>
          <w:b/>
          <w:i/>
        </w:rPr>
        <w:t xml:space="preserve"> </w:t>
      </w:r>
      <w:r w:rsidR="00C166DB" w:rsidRPr="00711F22">
        <w:rPr>
          <w:i/>
        </w:rPr>
        <w:fldChar w:fldCharType="begin"/>
      </w:r>
      <w:r w:rsidR="00C166DB" w:rsidRPr="00711F22">
        <w:rPr>
          <w:i/>
        </w:rPr>
        <w:instrText xml:space="preserve"> SEQ Observation \* ARABIC </w:instrText>
      </w:r>
      <w:r w:rsidR="00C166DB" w:rsidRPr="00711F22">
        <w:rPr>
          <w:i/>
        </w:rPr>
        <w:fldChar w:fldCharType="separate"/>
      </w:r>
      <w:r w:rsidR="008D3A62" w:rsidRPr="00711F22">
        <w:rPr>
          <w:i/>
          <w:noProof/>
        </w:rPr>
        <w:t>1</w:t>
      </w:r>
      <w:r w:rsidR="00C166DB" w:rsidRPr="00711F22">
        <w:rPr>
          <w:i/>
        </w:rPr>
        <w:fldChar w:fldCharType="end"/>
      </w:r>
      <w:r w:rsidRPr="00711F22">
        <w:rPr>
          <w:b/>
          <w:i/>
        </w:rPr>
        <w:t>: From RAN4’s view, the rule of chosen synchronous reference source is ambiguous in EN-DC and NE-DC scenario.</w:t>
      </w:r>
      <w:bookmarkEnd w:id="1"/>
    </w:p>
    <w:p w14:paraId="3955764C" w14:textId="7D1FA838" w:rsidR="00EC6B84" w:rsidRDefault="004D5C7D" w:rsidP="00850646">
      <w:pPr>
        <w:jc w:val="both"/>
        <w:rPr>
          <w:b/>
          <w:i/>
        </w:rPr>
      </w:pPr>
      <w:bookmarkStart w:id="3" w:name="_Ref20670058"/>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8D3A62">
        <w:rPr>
          <w:b/>
          <w:i/>
          <w:noProof/>
        </w:rPr>
        <w:t>1</w:t>
      </w:r>
      <w:r w:rsidRPr="00226EF3">
        <w:rPr>
          <w:b/>
          <w:i/>
        </w:rPr>
        <w:fldChar w:fldCharType="end"/>
      </w:r>
      <w:r w:rsidRPr="00226EF3">
        <w:rPr>
          <w:b/>
          <w:i/>
        </w:rPr>
        <w:t>:</w:t>
      </w:r>
      <w:r w:rsidRPr="00AD1682">
        <w:rPr>
          <w:b/>
          <w:i/>
        </w:rPr>
        <w:t xml:space="preserve"> </w:t>
      </w:r>
      <w:r w:rsidR="00EC6B84">
        <w:rPr>
          <w:b/>
          <w:i/>
        </w:rPr>
        <w:t>There are three possible options for UE to choos</w:t>
      </w:r>
      <w:r w:rsidR="00B13C7F">
        <w:rPr>
          <w:b/>
          <w:i/>
        </w:rPr>
        <w:t>e</w:t>
      </w:r>
      <w:r w:rsidR="00EC6B84">
        <w:rPr>
          <w:b/>
          <w:i/>
        </w:rPr>
        <w:t xml:space="preserve"> </w:t>
      </w:r>
      <w:r w:rsidR="00EC6B84" w:rsidRPr="00AD1682">
        <w:rPr>
          <w:b/>
          <w:i/>
        </w:rPr>
        <w:t>synchronization reference source</w:t>
      </w:r>
      <w:r w:rsidR="00EC6B84">
        <w:rPr>
          <w:b/>
          <w:i/>
        </w:rPr>
        <w:t xml:space="preserve"> when V2X sidelink frequency is out-of-coverage and Uu link is in-coverage in DC network,</w:t>
      </w:r>
      <w:bookmarkEnd w:id="3"/>
    </w:p>
    <w:p w14:paraId="4FFADADC" w14:textId="45C755F6" w:rsidR="00EC6B84" w:rsidRDefault="00EC6B84" w:rsidP="00850646">
      <w:pPr>
        <w:jc w:val="both"/>
        <w:rPr>
          <w:b/>
          <w:i/>
        </w:rPr>
      </w:pPr>
      <w:r>
        <w:rPr>
          <w:b/>
          <w:i/>
        </w:rPr>
        <w:t xml:space="preserve">Option 1: UE </w:t>
      </w:r>
      <w:r w:rsidR="00711F22">
        <w:rPr>
          <w:b/>
          <w:i/>
        </w:rPr>
        <w:t>sha</w:t>
      </w:r>
      <w:r>
        <w:rPr>
          <w:b/>
          <w:i/>
        </w:rPr>
        <w:t xml:space="preserve">ll always choose gNB as </w:t>
      </w:r>
      <w:r w:rsidRPr="00AD1682">
        <w:rPr>
          <w:b/>
          <w:i/>
        </w:rPr>
        <w:t>synchronization reference source</w:t>
      </w:r>
      <w:r>
        <w:rPr>
          <w:b/>
          <w:i/>
        </w:rPr>
        <w:t xml:space="preserve">; </w:t>
      </w:r>
    </w:p>
    <w:p w14:paraId="65AD775D" w14:textId="06C441E7" w:rsidR="00EC6B84" w:rsidRDefault="00EC6B84" w:rsidP="00AC1594">
      <w:pPr>
        <w:jc w:val="both"/>
        <w:rPr>
          <w:b/>
          <w:i/>
        </w:rPr>
      </w:pPr>
      <w:r>
        <w:rPr>
          <w:b/>
          <w:i/>
        </w:rPr>
        <w:t xml:space="preserve">Option 2: </w:t>
      </w:r>
      <w:bookmarkStart w:id="4" w:name="_Ref19958516"/>
      <w:bookmarkEnd w:id="2"/>
      <w:r w:rsidR="008C0412" w:rsidRPr="00AD1682">
        <w:rPr>
          <w:b/>
          <w:i/>
        </w:rPr>
        <w:t xml:space="preserve">UE </w:t>
      </w:r>
      <w:r w:rsidR="008C0412">
        <w:rPr>
          <w:b/>
          <w:i/>
        </w:rPr>
        <w:t>shall</w:t>
      </w:r>
      <w:r w:rsidR="008C0412" w:rsidRPr="00AD1682">
        <w:rPr>
          <w:b/>
          <w:i/>
        </w:rPr>
        <w:t xml:space="preserve"> choose P</w:t>
      </w:r>
      <w:r w:rsidR="008C0412">
        <w:rPr>
          <w:b/>
          <w:i/>
        </w:rPr>
        <w:t>C</w:t>
      </w:r>
      <w:r w:rsidR="008C0412" w:rsidRPr="00AD1682">
        <w:rPr>
          <w:b/>
          <w:i/>
        </w:rPr>
        <w:t>ell or P</w:t>
      </w:r>
      <w:r w:rsidR="008C0412">
        <w:rPr>
          <w:b/>
          <w:i/>
        </w:rPr>
        <w:t>S</w:t>
      </w:r>
      <w:r w:rsidR="008C0412" w:rsidRPr="00AD1682">
        <w:rPr>
          <w:b/>
          <w:i/>
        </w:rPr>
        <w:t xml:space="preserve">cell as synchronization reference source based on their RSRP </w:t>
      </w:r>
      <w:r w:rsidR="008C0412">
        <w:rPr>
          <w:b/>
          <w:i/>
        </w:rPr>
        <w:t>values</w:t>
      </w:r>
      <w:r>
        <w:rPr>
          <w:b/>
          <w:i/>
        </w:rPr>
        <w:t>;</w:t>
      </w:r>
    </w:p>
    <w:p w14:paraId="3136B6D2" w14:textId="0FA8EF52" w:rsidR="008C0412" w:rsidRDefault="00EC6B84" w:rsidP="00AC1594">
      <w:pPr>
        <w:jc w:val="both"/>
        <w:rPr>
          <w:b/>
          <w:i/>
        </w:rPr>
      </w:pPr>
      <w:r>
        <w:rPr>
          <w:b/>
          <w:i/>
        </w:rPr>
        <w:t xml:space="preserve">Option 3: UE shall always choose </w:t>
      </w:r>
      <w:r w:rsidR="00F85E42">
        <w:rPr>
          <w:b/>
          <w:i/>
        </w:rPr>
        <w:t xml:space="preserve">a </w:t>
      </w:r>
      <w:r w:rsidR="00F85E42" w:rsidRPr="00F85E42">
        <w:rPr>
          <w:b/>
          <w:i/>
        </w:rPr>
        <w:t xml:space="preserve">fixed base station(e.g. </w:t>
      </w:r>
      <w:r>
        <w:rPr>
          <w:b/>
          <w:i/>
        </w:rPr>
        <w:t>gNB</w:t>
      </w:r>
      <w:r w:rsidR="00F85E42">
        <w:rPr>
          <w:b/>
          <w:i/>
        </w:rPr>
        <w:t>)</w:t>
      </w:r>
      <w:r>
        <w:rPr>
          <w:b/>
          <w:i/>
        </w:rPr>
        <w:t xml:space="preserve"> as </w:t>
      </w:r>
      <w:r w:rsidRPr="00AD1682">
        <w:rPr>
          <w:b/>
          <w:i/>
        </w:rPr>
        <w:t>synchronization reference source</w:t>
      </w:r>
      <w:r>
        <w:rPr>
          <w:b/>
          <w:i/>
        </w:rPr>
        <w:t xml:space="preserve"> when both PCell and PSCell’s RSRP values are larger than a threshold configured by network; otherwise, </w:t>
      </w:r>
      <w:r w:rsidRPr="00AD1682">
        <w:rPr>
          <w:b/>
          <w:i/>
        </w:rPr>
        <w:t xml:space="preserve">UE </w:t>
      </w:r>
      <w:r>
        <w:rPr>
          <w:b/>
          <w:i/>
        </w:rPr>
        <w:t>shall</w:t>
      </w:r>
      <w:r w:rsidRPr="00AD1682">
        <w:rPr>
          <w:b/>
          <w:i/>
        </w:rPr>
        <w:t xml:space="preserve"> choose P</w:t>
      </w:r>
      <w:r>
        <w:rPr>
          <w:b/>
          <w:i/>
        </w:rPr>
        <w:t>C</w:t>
      </w:r>
      <w:r w:rsidRPr="00AD1682">
        <w:rPr>
          <w:b/>
          <w:i/>
        </w:rPr>
        <w:t>ell or P</w:t>
      </w:r>
      <w:r>
        <w:rPr>
          <w:b/>
          <w:i/>
        </w:rPr>
        <w:t>S</w:t>
      </w:r>
      <w:r w:rsidRPr="00AD1682">
        <w:rPr>
          <w:b/>
          <w:i/>
        </w:rPr>
        <w:t xml:space="preserve">cell as synchronization reference source based on their RSRP </w:t>
      </w:r>
      <w:r>
        <w:rPr>
          <w:b/>
          <w:i/>
        </w:rPr>
        <w:t xml:space="preserve">values. </w:t>
      </w:r>
      <w:bookmarkEnd w:id="4"/>
    </w:p>
    <w:p w14:paraId="7906F50E" w14:textId="310BAD5F" w:rsidR="00EC6B84" w:rsidRDefault="00EC6B84" w:rsidP="00711F22">
      <w:pPr>
        <w:jc w:val="both"/>
        <w:rPr>
          <w:b/>
          <w:i/>
        </w:rPr>
      </w:pPr>
      <w:r>
        <w:rPr>
          <w:lang w:eastAsia="en-US"/>
        </w:rPr>
        <w:t xml:space="preserve">In current RAN2’s agreement, UE will reselect the best cell in the highest priority frequency based on R criteria. Thus, </w:t>
      </w:r>
      <w:r w:rsidRPr="00850646">
        <w:rPr>
          <w:lang w:eastAsia="en-US"/>
        </w:rPr>
        <w:t xml:space="preserve">the idea </w:t>
      </w:r>
      <w:r>
        <w:rPr>
          <w:lang w:eastAsia="en-US"/>
        </w:rPr>
        <w:t xml:space="preserve">of </w:t>
      </w:r>
      <w:r w:rsidRPr="00850646">
        <w:rPr>
          <w:lang w:eastAsia="en-US"/>
        </w:rPr>
        <w:t>choos</w:t>
      </w:r>
      <w:r>
        <w:rPr>
          <w:lang w:eastAsia="en-US"/>
        </w:rPr>
        <w:t>ing</w:t>
      </w:r>
      <w:r w:rsidRPr="00850646">
        <w:rPr>
          <w:lang w:eastAsia="en-US"/>
        </w:rPr>
        <w:t xml:space="preserve"> SyncRef source based on RSRP value </w:t>
      </w:r>
      <w:r>
        <w:rPr>
          <w:lang w:eastAsia="en-US"/>
        </w:rPr>
        <w:t xml:space="preserve">could be re-used </w:t>
      </w:r>
      <w:r w:rsidRPr="00850646">
        <w:rPr>
          <w:lang w:eastAsia="en-US"/>
        </w:rPr>
        <w:t xml:space="preserve">when multiple active serving cells </w:t>
      </w:r>
      <w:r w:rsidRPr="00CF7691">
        <w:rPr>
          <w:lang w:eastAsia="en-US"/>
        </w:rPr>
        <w:t>in the highest frequency</w:t>
      </w:r>
      <w:r w:rsidRPr="00850646">
        <w:rPr>
          <w:lang w:eastAsia="en-US"/>
        </w:rPr>
        <w:t xml:space="preserve"> as candidate synchronization reference sources</w:t>
      </w:r>
      <w:r>
        <w:rPr>
          <w:lang w:eastAsia="en-US"/>
        </w:rPr>
        <w:t xml:space="preserve">. </w:t>
      </w:r>
    </w:p>
    <w:p w14:paraId="39AD38C7" w14:textId="2BBD5104" w:rsidR="00B55069" w:rsidRDefault="00B55069" w:rsidP="00850646">
      <w:pPr>
        <w:jc w:val="both"/>
        <w:rPr>
          <w:b/>
          <w:i/>
        </w:rPr>
      </w:pPr>
      <w:bookmarkStart w:id="5" w:name="_Ref19721454"/>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8D3A62">
        <w:rPr>
          <w:b/>
          <w:i/>
          <w:noProof/>
        </w:rPr>
        <w:t>2</w:t>
      </w:r>
      <w:r w:rsidRPr="00226EF3">
        <w:rPr>
          <w:b/>
          <w:i/>
        </w:rPr>
        <w:fldChar w:fldCharType="end"/>
      </w:r>
      <w:r w:rsidRPr="00226EF3">
        <w:rPr>
          <w:b/>
          <w:i/>
        </w:rPr>
        <w:t>:</w:t>
      </w:r>
      <w:r w:rsidRPr="00AD1682">
        <w:rPr>
          <w:b/>
          <w:i/>
        </w:rPr>
        <w:t xml:space="preserve"> UE </w:t>
      </w:r>
      <w:r w:rsidR="00CF7691">
        <w:rPr>
          <w:b/>
          <w:i/>
        </w:rPr>
        <w:t>shall</w:t>
      </w:r>
      <w:r w:rsidRPr="00AD1682">
        <w:rPr>
          <w:b/>
          <w:i/>
        </w:rPr>
        <w:t xml:space="preserve"> choose</w:t>
      </w:r>
      <w:r>
        <w:rPr>
          <w:b/>
          <w:i/>
        </w:rPr>
        <w:t xml:space="preserve"> the </w:t>
      </w:r>
      <w:r w:rsidRPr="00AD1682">
        <w:rPr>
          <w:b/>
          <w:i/>
        </w:rPr>
        <w:t xml:space="preserve">synchronization reference source based on </w:t>
      </w:r>
      <w:r w:rsidR="006C5593">
        <w:rPr>
          <w:b/>
          <w:i/>
        </w:rPr>
        <w:t>their RSRP</w:t>
      </w:r>
      <w:r>
        <w:rPr>
          <w:b/>
          <w:i/>
        </w:rPr>
        <w:t xml:space="preserve"> when </w:t>
      </w:r>
      <w:r w:rsidRPr="00B55069">
        <w:rPr>
          <w:b/>
          <w:i/>
        </w:rPr>
        <w:t>multiple active serving cells as candidate synchronization reference sources</w:t>
      </w:r>
      <w:r w:rsidRPr="00AD1682">
        <w:rPr>
          <w:b/>
          <w:i/>
        </w:rPr>
        <w:t>.</w:t>
      </w:r>
      <w:bookmarkEnd w:id="5"/>
    </w:p>
    <w:p w14:paraId="20F90F69" w14:textId="77777777" w:rsidR="00FA234C" w:rsidRPr="00F85E42" w:rsidRDefault="00FA234C" w:rsidP="00FA234C">
      <w:pPr>
        <w:rPr>
          <w:b/>
          <w:u w:val="single"/>
          <w:lang w:val="x-none" w:eastAsia="en-US"/>
        </w:rPr>
      </w:pPr>
      <w:r w:rsidRPr="00F85E42">
        <w:rPr>
          <w:b/>
          <w:u w:val="single"/>
          <w:lang w:val="x-none" w:eastAsia="en-US"/>
        </w:rPr>
        <w:t>Detectable Condition</w:t>
      </w:r>
    </w:p>
    <w:p w14:paraId="0DD0F37C" w14:textId="77777777" w:rsidR="00FA234C" w:rsidRPr="00F85E42" w:rsidRDefault="00FA234C" w:rsidP="00FA234C">
      <w:pPr>
        <w:jc w:val="both"/>
        <w:rPr>
          <w:lang w:eastAsia="en-US"/>
        </w:rPr>
      </w:pPr>
      <w:r w:rsidRPr="00F85E42">
        <w:rPr>
          <w:lang w:eastAsia="en-US"/>
        </w:rPr>
        <w:t>The condition for a NR V2X SyncRef UE is considered to be detectable is similar as the condition of detectable intra-frequency cell in NR. NR V2X SyncRef U</w:t>
      </w:r>
      <w:r w:rsidRPr="00F85E42">
        <w:t xml:space="preserve">E shall be considered detectable (and with the same Spatial Rx parameter in FR2) </w:t>
      </w:r>
      <w:r w:rsidRPr="00F85E42">
        <w:rPr>
          <w:rFonts w:cs="v4.2.0"/>
          <w:lang w:eastAsia="ko-KR"/>
        </w:rPr>
        <w:t xml:space="preserve">for each relevant SSB </w:t>
      </w:r>
      <w:r w:rsidRPr="00F85E42">
        <w:t>when</w:t>
      </w:r>
      <w:r w:rsidRPr="00F85E42">
        <w:rPr>
          <w:rFonts w:cs="v4.2.0"/>
        </w:rPr>
        <w:t>:</w:t>
      </w:r>
    </w:p>
    <w:p w14:paraId="24198256" w14:textId="77777777" w:rsidR="00FA234C" w:rsidRPr="00F85E42" w:rsidRDefault="00FA234C" w:rsidP="00FA234C">
      <w:pPr>
        <w:pStyle w:val="af3"/>
        <w:numPr>
          <w:ilvl w:val="0"/>
          <w:numId w:val="13"/>
        </w:numPr>
        <w:jc w:val="both"/>
      </w:pPr>
      <w:r w:rsidRPr="00F85E42">
        <w:t>S-RSRP related side condition should be fulfilled for a corresponding band;</w:t>
      </w:r>
    </w:p>
    <w:p w14:paraId="01A9F01E" w14:textId="77777777" w:rsidR="00FA234C" w:rsidRPr="00F85E42" w:rsidRDefault="00FA234C" w:rsidP="00FA234C">
      <w:pPr>
        <w:pStyle w:val="af3"/>
        <w:numPr>
          <w:ilvl w:val="0"/>
          <w:numId w:val="13"/>
        </w:numPr>
        <w:jc w:val="both"/>
      </w:pPr>
      <w:r w:rsidRPr="00F85E42">
        <w:t>S-SSB_RP and S-SSB Ês/Iot condition should be fulfilled for a corresponding band</w:t>
      </w:r>
    </w:p>
    <w:p w14:paraId="07A48450" w14:textId="77590614" w:rsidR="00FA234C" w:rsidRPr="00F85E42" w:rsidRDefault="00FA234C" w:rsidP="00581DE8">
      <w:pPr>
        <w:jc w:val="both"/>
        <w:rPr>
          <w:lang w:eastAsia="en-US"/>
        </w:rPr>
      </w:pPr>
      <w:r w:rsidRPr="00F85E42">
        <w:rPr>
          <w:lang w:eastAsia="en-US"/>
        </w:rPr>
        <w:t xml:space="preserve">In legacy LTE V2X, the SCH Ês/Iot condition is 0dB when considering SLSS </w:t>
      </w:r>
      <w:r w:rsidRPr="00F85E42">
        <w:rPr>
          <w:rFonts w:hint="eastAsia"/>
          <w:lang w:eastAsia="en-US"/>
        </w:rPr>
        <w:t>transmis</w:t>
      </w:r>
      <w:r w:rsidRPr="00F85E42">
        <w:rPr>
          <w:lang w:eastAsia="en-US"/>
        </w:rPr>
        <w:t>sion dropping rate</w:t>
      </w:r>
      <w:r w:rsidR="007F23B9" w:rsidRPr="00F85E42">
        <w:rPr>
          <w:lang w:eastAsia="en-US"/>
        </w:rPr>
        <w:t xml:space="preserve"> because the SNR usually is higher in typical V2X scenario</w:t>
      </w:r>
      <w:r w:rsidRPr="00F85E42">
        <w:rPr>
          <w:lang w:eastAsia="en-US"/>
        </w:rPr>
        <w:t>.</w:t>
      </w:r>
      <w:r w:rsidR="007F23B9" w:rsidRPr="00F85E42">
        <w:rPr>
          <w:lang w:eastAsia="en-US"/>
        </w:rPr>
        <w:t xml:space="preserve"> Currently, in NR V2X, it’s better to follow LTE V2X’s side condition as the baseline.</w:t>
      </w:r>
      <w:r w:rsidRPr="00F85E42">
        <w:rPr>
          <w:lang w:eastAsia="en-US"/>
        </w:rPr>
        <w:t xml:space="preserve">  </w:t>
      </w:r>
    </w:p>
    <w:p w14:paraId="5BC6611D" w14:textId="2D4B1F62" w:rsidR="00FA234C" w:rsidRPr="00F85E42" w:rsidRDefault="00FA234C" w:rsidP="00FA234C">
      <w:pPr>
        <w:jc w:val="both"/>
        <w:rPr>
          <w:b/>
          <w:i/>
        </w:rPr>
      </w:pPr>
      <w:bookmarkStart w:id="6" w:name="_Ref16773715"/>
      <w:r w:rsidRPr="00F85E42">
        <w:rPr>
          <w:b/>
          <w:i/>
        </w:rPr>
        <w:t xml:space="preserve">Observation </w:t>
      </w:r>
      <w:r w:rsidR="00C166DB" w:rsidRPr="00F85E42">
        <w:rPr>
          <w:i/>
        </w:rPr>
        <w:fldChar w:fldCharType="begin"/>
      </w:r>
      <w:r w:rsidR="00C166DB" w:rsidRPr="00F85E42">
        <w:rPr>
          <w:i/>
        </w:rPr>
        <w:instrText xml:space="preserve"> SEQ Observation \* ARABIC </w:instrText>
      </w:r>
      <w:r w:rsidR="00C166DB" w:rsidRPr="00F85E42">
        <w:rPr>
          <w:i/>
        </w:rPr>
        <w:fldChar w:fldCharType="separate"/>
      </w:r>
      <w:r w:rsidR="008D3A62" w:rsidRPr="00F85E42">
        <w:rPr>
          <w:i/>
          <w:noProof/>
        </w:rPr>
        <w:t>2</w:t>
      </w:r>
      <w:r w:rsidR="00C166DB" w:rsidRPr="00F85E42">
        <w:rPr>
          <w:i/>
        </w:rPr>
        <w:fldChar w:fldCharType="end"/>
      </w:r>
      <w:r w:rsidRPr="00F85E42">
        <w:rPr>
          <w:b/>
          <w:i/>
        </w:rPr>
        <w:t xml:space="preserve">: SCH Ês/Iot condition is 0dB when considering SLSS </w:t>
      </w:r>
      <w:r w:rsidRPr="00F85E42">
        <w:rPr>
          <w:rFonts w:hint="eastAsia"/>
          <w:b/>
          <w:i/>
        </w:rPr>
        <w:t>transmis</w:t>
      </w:r>
      <w:r w:rsidRPr="00F85E42">
        <w:rPr>
          <w:b/>
          <w:i/>
        </w:rPr>
        <w:t>sion dropping rate in legacy LTE V2X.</w:t>
      </w:r>
      <w:bookmarkEnd w:id="6"/>
    </w:p>
    <w:p w14:paraId="10D0F920" w14:textId="50272A51" w:rsidR="007F23B9" w:rsidRDefault="007F23B9" w:rsidP="00FA234C">
      <w:pPr>
        <w:jc w:val="both"/>
        <w:rPr>
          <w:b/>
          <w:i/>
        </w:rPr>
      </w:pPr>
      <w:bookmarkStart w:id="7" w:name="_Ref20577978"/>
      <w:r w:rsidRPr="00F85E42">
        <w:rPr>
          <w:b/>
          <w:i/>
        </w:rPr>
        <w:t xml:space="preserve">Proposal </w:t>
      </w:r>
      <w:r w:rsidR="00C166DB" w:rsidRPr="00F85E42">
        <w:rPr>
          <w:b/>
          <w:i/>
        </w:rPr>
        <w:fldChar w:fldCharType="begin"/>
      </w:r>
      <w:r w:rsidR="00C166DB" w:rsidRPr="00F85E42">
        <w:rPr>
          <w:b/>
          <w:i/>
        </w:rPr>
        <w:instrText xml:space="preserve"> SEQ Proposal \* ARABIC </w:instrText>
      </w:r>
      <w:r w:rsidR="00C166DB" w:rsidRPr="00F85E42">
        <w:rPr>
          <w:b/>
          <w:i/>
        </w:rPr>
        <w:fldChar w:fldCharType="separate"/>
      </w:r>
      <w:r w:rsidR="008D3A62" w:rsidRPr="00F85E42">
        <w:rPr>
          <w:b/>
          <w:i/>
          <w:noProof/>
        </w:rPr>
        <w:t>3</w:t>
      </w:r>
      <w:r w:rsidR="00C166DB" w:rsidRPr="00F85E42">
        <w:rPr>
          <w:b/>
          <w:i/>
        </w:rPr>
        <w:fldChar w:fldCharType="end"/>
      </w:r>
      <w:r w:rsidRPr="00F85E42">
        <w:rPr>
          <w:b/>
          <w:i/>
        </w:rPr>
        <w:t>: S-SSB_RP and S-SSB Ês/Iot condition is 0dB followed legacy LTE V2X.</w:t>
      </w:r>
      <w:bookmarkEnd w:id="7"/>
    </w:p>
    <w:p w14:paraId="1572A7C6" w14:textId="77777777" w:rsidR="00581DE8" w:rsidRPr="00C64B48" w:rsidRDefault="00581DE8" w:rsidP="00581DE8">
      <w:pPr>
        <w:pStyle w:val="af0"/>
        <w:rPr>
          <w:sz w:val="22"/>
          <w:u w:val="single"/>
          <w:lang w:val="en-US"/>
        </w:rPr>
      </w:pPr>
      <w:r w:rsidRPr="00C64B48">
        <w:rPr>
          <w:sz w:val="22"/>
          <w:u w:val="single"/>
          <w:lang w:val="en-US"/>
        </w:rPr>
        <w:t>Dropping Rate</w:t>
      </w:r>
    </w:p>
    <w:p w14:paraId="6A9B22FB" w14:textId="7C963963" w:rsidR="00581DE8" w:rsidRDefault="00581DE8" w:rsidP="00581DE8">
      <w:pPr>
        <w:jc w:val="both"/>
        <w:rPr>
          <w:lang w:eastAsia="ja-JP" w:bidi="hi-IN"/>
        </w:rPr>
      </w:pPr>
      <w:r>
        <w:rPr>
          <w:lang w:eastAsia="ja-JP" w:bidi="hi-IN"/>
        </w:rPr>
        <w:t xml:space="preserve">In LTE V2X, UE is required to identify SyncRef UE </w:t>
      </w:r>
      <w:r>
        <w:rPr>
          <w:lang w:eastAsia="x-none"/>
        </w:rPr>
        <w:t>that is sync. to GNSS directly or in-directly</w:t>
      </w:r>
      <w:r>
        <w:rPr>
          <w:lang w:eastAsia="ja-JP" w:bidi="hi-IN"/>
        </w:rPr>
        <w:t xml:space="preserve"> within 1.6 seconds, and the maximum allowed data dropping rate is 30% (480ms). The 30% is derived by assuming that UE monitors 3 full SLSS periods. In these 3 SLSS period, UE needs to detect S-PSS/S-SSS and decode PSBCH which </w:t>
      </w:r>
      <w:r>
        <w:rPr>
          <w:lang w:eastAsia="ja-JP" w:bidi="hi-IN"/>
        </w:rPr>
        <w:lastRenderedPageBreak/>
        <w:t xml:space="preserve">carries the In-Coverage indication. Now RAN1 is discussing whether carry this In-Coverage indication bit in MIB or outside by PSBCH DMRS. If this bit is carried by PSBCH DMRS, UE should only detect PSBCH DMRS similar as SSB time index detection behavior in NR FR1. This could speed up the SLSS search and reduce the drop rate. At the same time, now </w:t>
      </w:r>
      <w:r>
        <w:rPr>
          <w:rFonts w:cstheme="minorHAnsi"/>
          <w:szCs w:val="20"/>
        </w:rPr>
        <w:t>t</w:t>
      </w:r>
      <w:r w:rsidRPr="000579A8">
        <w:rPr>
          <w:rFonts w:cstheme="minorHAnsi"/>
          <w:szCs w:val="20"/>
        </w:rPr>
        <w:t xml:space="preserve">wo symbols </w:t>
      </w:r>
      <w:r>
        <w:rPr>
          <w:rFonts w:cstheme="minorHAnsi"/>
          <w:szCs w:val="20"/>
        </w:rPr>
        <w:t xml:space="preserve">of 127 sequence </w:t>
      </w:r>
      <w:r w:rsidRPr="000579A8">
        <w:rPr>
          <w:rFonts w:cstheme="minorHAnsi"/>
          <w:szCs w:val="20"/>
        </w:rPr>
        <w:t>are used for each of S-PSS and S-SSS</w:t>
      </w:r>
      <w:r>
        <w:rPr>
          <w:lang w:eastAsia="ja-JP" w:bidi="hi-IN"/>
        </w:rPr>
        <w:t xml:space="preserve"> in RAN1 design which is much better than NR and LTE-V2X. It can foresee the better S-PSS/S-SSS detection performance and lower dropping rate. </w:t>
      </w:r>
    </w:p>
    <w:p w14:paraId="554BD577" w14:textId="77777777" w:rsidR="008D3A62" w:rsidRPr="007B3098" w:rsidRDefault="00995140" w:rsidP="00581DE8">
      <w:pPr>
        <w:jc w:val="both"/>
        <w:rPr>
          <w:lang w:bidi="hi-IN"/>
        </w:rPr>
      </w:pPr>
      <w:r w:rsidRPr="007B3098">
        <w:rPr>
          <w:lang w:eastAsia="ja-JP" w:bidi="hi-IN"/>
        </w:rPr>
        <w:t xml:space="preserve">In LTE V2X, UE is </w:t>
      </w:r>
      <w:r w:rsidRPr="007B3098">
        <w:rPr>
          <w:rFonts w:hint="eastAsia"/>
          <w:lang w:bidi="hi-IN"/>
        </w:rPr>
        <w:t>required</w:t>
      </w:r>
      <w:r w:rsidRPr="007B3098">
        <w:rPr>
          <w:lang w:bidi="hi-IN"/>
        </w:rPr>
        <w:t xml:space="preserve"> not to drop any V2X data transmission when UE is synced to a SynceRef UE that is synced to GNSS directly or in-directly. The reason is that the V2X transmission data should be public safety information in LTE V2X, so that the V2X data transmission should have higher priority than </w:t>
      </w:r>
      <w:r w:rsidR="008D3A62" w:rsidRPr="007B3098">
        <w:rPr>
          <w:rFonts w:hint="eastAsia"/>
          <w:lang w:bidi="hi-IN"/>
        </w:rPr>
        <w:t>s</w:t>
      </w:r>
      <w:r w:rsidRPr="007B3098">
        <w:rPr>
          <w:lang w:bidi="hi-IN"/>
        </w:rPr>
        <w:t xml:space="preserve">ync. source reselection. </w:t>
      </w:r>
    </w:p>
    <w:p w14:paraId="1556D4B4" w14:textId="4521456F" w:rsidR="00995140" w:rsidRPr="007B3098" w:rsidRDefault="00995140" w:rsidP="00581DE8">
      <w:pPr>
        <w:jc w:val="both"/>
        <w:rPr>
          <w:lang w:eastAsia="ja-JP" w:bidi="hi-IN"/>
        </w:rPr>
      </w:pPr>
      <w:r w:rsidRPr="007B3098">
        <w:rPr>
          <w:lang w:bidi="hi-IN"/>
        </w:rPr>
        <w:t xml:space="preserve">However, in NR V2X, other not important information, such as </w:t>
      </w:r>
      <w:r w:rsidR="008D3A62" w:rsidRPr="007B3098">
        <w:rPr>
          <w:lang w:bidi="hi-IN"/>
        </w:rPr>
        <w:t>e</w:t>
      </w:r>
      <w:r w:rsidRPr="007B3098">
        <w:rPr>
          <w:lang w:bidi="hi-IN"/>
        </w:rPr>
        <w:t xml:space="preserve">ntertainment </w:t>
      </w:r>
      <w:r w:rsidR="008D3A62" w:rsidRPr="007B3098">
        <w:rPr>
          <w:lang w:bidi="hi-IN"/>
        </w:rPr>
        <w:t xml:space="preserve">news </w:t>
      </w:r>
      <w:r w:rsidRPr="007B3098">
        <w:rPr>
          <w:lang w:bidi="hi-IN"/>
        </w:rPr>
        <w:t xml:space="preserve">would also be transmitted by group-cast and unicast except the public safety information. </w:t>
      </w:r>
      <w:r w:rsidR="008D3A62" w:rsidRPr="007B3098">
        <w:rPr>
          <w:lang w:bidi="hi-IN"/>
        </w:rPr>
        <w:t xml:space="preserve">At the same time, the feedback channel is introduced in NR. Whether the PSFCH transmission could be dropped should also be considered. </w:t>
      </w:r>
      <w:r w:rsidRPr="007B3098">
        <w:rPr>
          <w:lang w:bidi="hi-IN"/>
        </w:rPr>
        <w:t>Thus, RAN4 should re-consider the dropping rule for reselecting the sync. source.</w:t>
      </w:r>
    </w:p>
    <w:p w14:paraId="5C99DF08" w14:textId="6960236F" w:rsidR="00581DE8" w:rsidRPr="007B3098" w:rsidRDefault="00581DE8" w:rsidP="00581DE8">
      <w:pPr>
        <w:jc w:val="both"/>
        <w:rPr>
          <w:b/>
          <w:i/>
        </w:rPr>
      </w:pPr>
      <w:bookmarkStart w:id="8" w:name="_Ref16184843"/>
      <w:r w:rsidRPr="007B3098">
        <w:rPr>
          <w:b/>
          <w:i/>
        </w:rPr>
        <w:t xml:space="preserve">Observation </w:t>
      </w:r>
      <w:r w:rsidR="00C166DB" w:rsidRPr="007B3098">
        <w:rPr>
          <w:i/>
        </w:rPr>
        <w:fldChar w:fldCharType="begin"/>
      </w:r>
      <w:r w:rsidR="00C166DB" w:rsidRPr="007B3098">
        <w:rPr>
          <w:i/>
        </w:rPr>
        <w:instrText xml:space="preserve"> SEQ Observation \* ARABIC </w:instrText>
      </w:r>
      <w:r w:rsidR="00C166DB" w:rsidRPr="007B3098">
        <w:rPr>
          <w:i/>
        </w:rPr>
        <w:fldChar w:fldCharType="separate"/>
      </w:r>
      <w:r w:rsidR="008D3A62" w:rsidRPr="007B3098">
        <w:rPr>
          <w:i/>
          <w:noProof/>
        </w:rPr>
        <w:t>3</w:t>
      </w:r>
      <w:r w:rsidR="00C166DB" w:rsidRPr="007B3098">
        <w:rPr>
          <w:i/>
        </w:rPr>
        <w:fldChar w:fldCharType="end"/>
      </w:r>
      <w:r w:rsidRPr="007B3098">
        <w:rPr>
          <w:b/>
          <w:i/>
        </w:rPr>
        <w:t>: Compared to legacy LTE V2X UE, NR V2X UE could have better S-PSS/S-SSS detection rate and lower dropping rate for selection/reselection of V2X synchronization reference source.</w:t>
      </w:r>
      <w:bookmarkEnd w:id="8"/>
    </w:p>
    <w:p w14:paraId="2E77573E" w14:textId="256E04C9" w:rsidR="00995140" w:rsidRDefault="00995140" w:rsidP="00581DE8">
      <w:pPr>
        <w:jc w:val="both"/>
        <w:rPr>
          <w:b/>
          <w:i/>
        </w:rPr>
      </w:pPr>
      <w:bookmarkStart w:id="9" w:name="_Ref20669609"/>
      <w:r w:rsidRPr="007B3098">
        <w:rPr>
          <w:b/>
          <w:i/>
        </w:rPr>
        <w:t xml:space="preserve">Proposal </w:t>
      </w:r>
      <w:r w:rsidR="00C166DB" w:rsidRPr="007B3098">
        <w:rPr>
          <w:b/>
          <w:i/>
        </w:rPr>
        <w:fldChar w:fldCharType="begin"/>
      </w:r>
      <w:r w:rsidR="00C166DB" w:rsidRPr="007B3098">
        <w:rPr>
          <w:b/>
          <w:i/>
        </w:rPr>
        <w:instrText xml:space="preserve"> SEQ Proposal \* ARABIC </w:instrText>
      </w:r>
      <w:r w:rsidR="00C166DB" w:rsidRPr="007B3098">
        <w:rPr>
          <w:b/>
          <w:i/>
        </w:rPr>
        <w:fldChar w:fldCharType="separate"/>
      </w:r>
      <w:r w:rsidR="008D3A62" w:rsidRPr="007B3098">
        <w:rPr>
          <w:b/>
          <w:i/>
          <w:noProof/>
        </w:rPr>
        <w:t>4</w:t>
      </w:r>
      <w:r w:rsidR="00C166DB" w:rsidRPr="007B3098">
        <w:rPr>
          <w:b/>
          <w:i/>
        </w:rPr>
        <w:fldChar w:fldCharType="end"/>
      </w:r>
      <w:r w:rsidRPr="007B3098">
        <w:rPr>
          <w:b/>
          <w:i/>
        </w:rPr>
        <w:t xml:space="preserve">: RAN4 should discuss </w:t>
      </w:r>
      <w:r w:rsidR="008D3A62" w:rsidRPr="007B3098">
        <w:rPr>
          <w:b/>
          <w:i/>
        </w:rPr>
        <w:t xml:space="preserve">the </w:t>
      </w:r>
      <w:r w:rsidRPr="007B3098">
        <w:rPr>
          <w:b/>
          <w:i/>
        </w:rPr>
        <w:t xml:space="preserve">dropping </w:t>
      </w:r>
      <w:r w:rsidR="008D3A62" w:rsidRPr="007B3098">
        <w:rPr>
          <w:b/>
          <w:i/>
        </w:rPr>
        <w:t>rule for reselecting the sync. source</w:t>
      </w:r>
      <w:r w:rsidRPr="007B3098">
        <w:rPr>
          <w:b/>
          <w:i/>
        </w:rPr>
        <w:t>.</w:t>
      </w:r>
      <w:bookmarkEnd w:id="9"/>
    </w:p>
    <w:p w14:paraId="38D47224" w14:textId="77777777" w:rsidR="00581DE8" w:rsidRPr="00C64B48" w:rsidRDefault="00581DE8" w:rsidP="00581DE8">
      <w:pPr>
        <w:pStyle w:val="af0"/>
        <w:rPr>
          <w:sz w:val="22"/>
          <w:u w:val="single"/>
          <w:lang w:val="en-US"/>
        </w:rPr>
      </w:pPr>
      <w:r w:rsidRPr="00C64B48">
        <w:rPr>
          <w:sz w:val="22"/>
          <w:u w:val="single"/>
          <w:lang w:val="en-US"/>
        </w:rPr>
        <w:t>PBCH Decoding</w:t>
      </w:r>
    </w:p>
    <w:p w14:paraId="492B96A2" w14:textId="77777777" w:rsidR="00581DE8" w:rsidRDefault="00581DE8" w:rsidP="00581DE8">
      <w:pPr>
        <w:jc w:val="both"/>
        <w:rPr>
          <w:lang w:eastAsia="ja-JP" w:bidi="hi-IN"/>
        </w:rPr>
      </w:pPr>
      <w:r>
        <w:rPr>
          <w:lang w:eastAsia="ja-JP" w:bidi="hi-IN"/>
        </w:rPr>
        <w:t xml:space="preserve">In LTE V2X, UE has to decode PBCH to obtain the In-Coverage bit to know </w:t>
      </w:r>
      <w:r w:rsidRPr="00881B33">
        <w:rPr>
          <w:lang w:eastAsia="ja-JP" w:bidi="hi-IN"/>
        </w:rPr>
        <w:t xml:space="preserve">if the </w:t>
      </w:r>
      <w:r>
        <w:rPr>
          <w:rFonts w:ascii="Calibri" w:hAnsi="Calibri"/>
        </w:rPr>
        <w:t>SyncRef</w:t>
      </w:r>
      <w:r w:rsidRPr="00881B33">
        <w:rPr>
          <w:lang w:eastAsia="ja-JP" w:bidi="hi-IN"/>
        </w:rPr>
        <w:t xml:space="preserve"> UE is directly or indirectly synced to GNSS/eNB. This is used for the priority group selection since </w:t>
      </w:r>
      <w:r>
        <w:rPr>
          <w:rFonts w:ascii="Calibri" w:hAnsi="Calibri"/>
        </w:rPr>
        <w:t>SyncRef</w:t>
      </w:r>
      <w:r w:rsidRPr="00881B33">
        <w:rPr>
          <w:lang w:eastAsia="ja-JP" w:bidi="hi-IN"/>
        </w:rPr>
        <w:t xml:space="preserve"> UEs directly synced to GNSS/eNB has higher priority than </w:t>
      </w:r>
      <w:r>
        <w:rPr>
          <w:rFonts w:ascii="Calibri" w:hAnsi="Calibri"/>
        </w:rPr>
        <w:t>SyncRef</w:t>
      </w:r>
      <w:r w:rsidRPr="00881B33">
        <w:rPr>
          <w:lang w:eastAsia="ja-JP" w:bidi="hi-IN"/>
        </w:rPr>
        <w:t xml:space="preserve"> UEs indirectly synced to them.</w:t>
      </w:r>
      <w:r>
        <w:rPr>
          <w:lang w:eastAsia="ja-JP" w:bidi="hi-IN"/>
        </w:rPr>
        <w:t xml:space="preserve"> In NR V2X, another option is to carry this indicator outside the MIB similarly as NR SBI. RAN4 should wait RAN1’s discussion on how to carry this indicator to decide to evaluate PBCH decoding performance or DMRS detection performance.</w:t>
      </w:r>
    </w:p>
    <w:p w14:paraId="05C2245A" w14:textId="0809BF11" w:rsidR="00FA234C" w:rsidRPr="00850646" w:rsidRDefault="00581DE8" w:rsidP="00FA234C">
      <w:pPr>
        <w:jc w:val="both"/>
        <w:rPr>
          <w:lang w:eastAsia="en-US"/>
        </w:rPr>
      </w:pPr>
      <w:bookmarkStart w:id="10" w:name="_Ref16253632"/>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8D3A62">
        <w:rPr>
          <w:b/>
          <w:i/>
          <w:noProof/>
        </w:rPr>
        <w:t>5</w:t>
      </w:r>
      <w:r w:rsidRPr="00226EF3">
        <w:rPr>
          <w:b/>
          <w:i/>
        </w:rPr>
        <w:fldChar w:fldCharType="end"/>
      </w:r>
      <w:r w:rsidRPr="00226EF3">
        <w:rPr>
          <w:b/>
          <w:i/>
        </w:rPr>
        <w:t>:</w:t>
      </w:r>
      <w:r>
        <w:rPr>
          <w:b/>
          <w:i/>
        </w:rPr>
        <w:t xml:space="preserve"> RAN4 should wait RAN1’s PSBCH design to decide which procedure should be evaluation, PSBCH decoding or PSBCH DMRS detection.</w:t>
      </w:r>
      <w:bookmarkEnd w:id="10"/>
    </w:p>
    <w:p w14:paraId="290892E4" w14:textId="70381957" w:rsidR="00A24102" w:rsidRDefault="00A24102" w:rsidP="005C54FF">
      <w:pPr>
        <w:pStyle w:val="1"/>
        <w:numPr>
          <w:ilvl w:val="0"/>
          <w:numId w:val="1"/>
        </w:numPr>
        <w:rPr>
          <w:rFonts w:ascii="Calibri" w:hAnsi="Calibri"/>
        </w:rPr>
      </w:pPr>
      <w:r w:rsidRPr="00A24102">
        <w:rPr>
          <w:rFonts w:ascii="Calibri" w:hAnsi="Calibri"/>
        </w:rPr>
        <w:t>I</w:t>
      </w:r>
      <w:r w:rsidRPr="00A24102">
        <w:rPr>
          <w:rFonts w:ascii="Calibri" w:hAnsi="Calibri" w:hint="eastAsia"/>
        </w:rPr>
        <w:t>ni</w:t>
      </w:r>
      <w:r w:rsidRPr="00A24102">
        <w:rPr>
          <w:rFonts w:ascii="Calibri" w:hAnsi="Calibri"/>
        </w:rPr>
        <w:t>tiation/Cease of SLSS transmission</w:t>
      </w:r>
    </w:p>
    <w:p w14:paraId="2E6B00BA" w14:textId="7D1334B5" w:rsidR="00A24102" w:rsidRDefault="00A24102" w:rsidP="00B678D0">
      <w:pPr>
        <w:jc w:val="both"/>
        <w:rPr>
          <w:lang w:val="en-GB"/>
        </w:rPr>
      </w:pPr>
      <w:r>
        <w:rPr>
          <w:lang w:val="en-GB" w:eastAsia="en-US"/>
        </w:rPr>
        <w:t>UE could have such different syncRef sources below based on RAN1’s newest agreement, but currently RAN4 don’t know how to use the measure metric to evaluate whether initiation/cease of SLSS transmission.</w:t>
      </w:r>
      <w:r w:rsidRPr="00A24102">
        <w:rPr>
          <w:lang w:val="en-GB"/>
        </w:rPr>
        <w:t xml:space="preserve"> </w:t>
      </w:r>
      <w:r>
        <w:rPr>
          <w:lang w:val="en-GB"/>
        </w:rPr>
        <w:t xml:space="preserve">RAN4 should wait RAN2 to </w:t>
      </w:r>
      <w:r w:rsidR="00026C4E">
        <w:rPr>
          <w:lang w:val="en-GB"/>
        </w:rPr>
        <w:t>clarify</w:t>
      </w:r>
      <w:r>
        <w:rPr>
          <w:lang w:val="en-GB"/>
        </w:rPr>
        <w:t xml:space="preserve"> the procedure of initiation/cease of SLSS transmission.</w:t>
      </w:r>
    </w:p>
    <w:p w14:paraId="0B9E1B08" w14:textId="277242B7" w:rsidR="00026C4E" w:rsidRPr="00026C4E" w:rsidRDefault="00026C4E" w:rsidP="00B678D0">
      <w:pPr>
        <w:jc w:val="both"/>
        <w:rPr>
          <w:b/>
          <w:i/>
        </w:rPr>
      </w:pPr>
      <w:bookmarkStart w:id="11" w:name="_Ref19721457"/>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8D3A62">
        <w:rPr>
          <w:b/>
          <w:i/>
          <w:noProof/>
        </w:rPr>
        <w:t>6</w:t>
      </w:r>
      <w:r w:rsidRPr="00226EF3">
        <w:rPr>
          <w:b/>
          <w:i/>
        </w:rPr>
        <w:fldChar w:fldCharType="end"/>
      </w:r>
      <w:r w:rsidRPr="00226EF3">
        <w:rPr>
          <w:b/>
          <w:i/>
        </w:rPr>
        <w:t>:</w:t>
      </w:r>
      <w:r>
        <w:rPr>
          <w:b/>
          <w:i/>
        </w:rPr>
        <w:t xml:space="preserve"> </w:t>
      </w:r>
      <w:r w:rsidRPr="00026C4E">
        <w:rPr>
          <w:b/>
          <w:i/>
        </w:rPr>
        <w:t>RAN4 should wait RAN2 to clarify the procedure of initiation/cease of SLSS transmission.</w:t>
      </w:r>
      <w:bookmarkEnd w:id="11"/>
    </w:p>
    <w:p w14:paraId="73D8111C" w14:textId="431557A9" w:rsidR="001B6C6D" w:rsidRPr="001B6C6D" w:rsidRDefault="001B6C6D" w:rsidP="00B678D0">
      <w:pPr>
        <w:jc w:val="both"/>
        <w:rPr>
          <w:b/>
          <w:u w:val="single"/>
          <w:lang w:val="en-GB"/>
        </w:rPr>
      </w:pPr>
      <w:r w:rsidRPr="001B6C6D">
        <w:rPr>
          <w:b/>
          <w:u w:val="single"/>
          <w:lang w:val="en-GB"/>
        </w:rPr>
        <w:t>Measurement Time</w:t>
      </w:r>
    </w:p>
    <w:p w14:paraId="4D3E39EA" w14:textId="77777777" w:rsidR="001B6C6D" w:rsidRPr="00A24102" w:rsidRDefault="001B6C6D" w:rsidP="005C54FF">
      <w:pPr>
        <w:pStyle w:val="af3"/>
        <w:numPr>
          <w:ilvl w:val="0"/>
          <w:numId w:val="9"/>
        </w:numPr>
        <w:jc w:val="both"/>
        <w:rPr>
          <w:lang w:val="en-GB"/>
        </w:rPr>
      </w:pPr>
      <w:r w:rsidRPr="00A24102">
        <w:rPr>
          <w:lang w:val="en-GB"/>
        </w:rPr>
        <w:t>gNB</w:t>
      </w:r>
      <w:r>
        <w:rPr>
          <w:lang w:val="en-GB"/>
        </w:rPr>
        <w:t>/</w:t>
      </w:r>
      <w:r w:rsidRPr="00A24102">
        <w:rPr>
          <w:lang w:val="en-GB"/>
        </w:rPr>
        <w:t>eNB</w:t>
      </w:r>
      <w:r>
        <w:rPr>
          <w:lang w:val="en-GB"/>
        </w:rPr>
        <w:t xml:space="preserve"> as SyncRef source</w:t>
      </w:r>
    </w:p>
    <w:p w14:paraId="728C6367" w14:textId="67545E98" w:rsidR="00A24102" w:rsidRDefault="00A24102" w:rsidP="00B678D0">
      <w:pPr>
        <w:jc w:val="both"/>
      </w:pPr>
      <w:r>
        <w:rPr>
          <w:lang w:val="en-GB"/>
        </w:rPr>
        <w:t xml:space="preserve">From RAN4’s understanding, UE should measure the RSRP of the syncRef cell and </w:t>
      </w:r>
      <w:r w:rsidR="001B6C6D">
        <w:rPr>
          <w:lang w:val="en-GB"/>
        </w:rPr>
        <w:t xml:space="preserve">evaluate the RSRP lower than a SLSS transmission threshold or not. </w:t>
      </w:r>
      <w:r w:rsidR="001B6C6D">
        <w:t xml:space="preserve">This </w:t>
      </w:r>
      <w:r w:rsidR="006D5063">
        <w:t xml:space="preserve">delay </w:t>
      </w:r>
      <w:r w:rsidR="001B6C6D">
        <w:t xml:space="preserve">requirement could directly re-use NR intra-frequency measurement </w:t>
      </w:r>
      <w:r w:rsidR="001B6C6D" w:rsidRPr="0041654A">
        <w:t>with/without gaps</w:t>
      </w:r>
      <w:r w:rsidR="001B6C6D">
        <w:t xml:space="preserve"> requirement when NR cell is the </w:t>
      </w:r>
      <w:r w:rsidR="001B6C6D" w:rsidRPr="0041654A">
        <w:t>synchronization reference source</w:t>
      </w:r>
      <w:r w:rsidR="001B6C6D">
        <w:t xml:space="preserve">. It could also directly refer </w:t>
      </w:r>
      <w:r w:rsidR="008C5112">
        <w:t xml:space="preserve">to </w:t>
      </w:r>
      <w:r w:rsidR="001B6C6D">
        <w:t xml:space="preserve">LTE intra-frequency measurement requirement as legacy LTE V2X when LTE cell is the </w:t>
      </w:r>
      <w:r w:rsidR="001B6C6D" w:rsidRPr="0041654A">
        <w:t>synchronization reference source</w:t>
      </w:r>
      <w:r w:rsidR="001B6C6D">
        <w:t>.</w:t>
      </w:r>
    </w:p>
    <w:p w14:paraId="3193EC0B" w14:textId="65001F44" w:rsidR="001B6C6D" w:rsidRDefault="001B6C6D" w:rsidP="00B678D0">
      <w:pPr>
        <w:jc w:val="both"/>
        <w:rPr>
          <w:b/>
          <w:i/>
        </w:rPr>
      </w:pPr>
      <w:bookmarkStart w:id="12" w:name="_Ref19721461"/>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8D3A62">
        <w:rPr>
          <w:b/>
          <w:i/>
          <w:noProof/>
        </w:rPr>
        <w:t>7</w:t>
      </w:r>
      <w:r w:rsidRPr="00226EF3">
        <w:rPr>
          <w:b/>
          <w:i/>
        </w:rPr>
        <w:fldChar w:fldCharType="end"/>
      </w:r>
      <w:r w:rsidRPr="00226EF3">
        <w:rPr>
          <w:b/>
          <w:i/>
        </w:rPr>
        <w:t>:</w:t>
      </w:r>
      <w:r>
        <w:rPr>
          <w:b/>
          <w:i/>
        </w:rPr>
        <w:t xml:space="preserve"> The measurement time could re-use NR intra-frequency measurement with/without gaps time when gNB is used as </w:t>
      </w:r>
      <w:r w:rsidRPr="008215C8">
        <w:rPr>
          <w:b/>
          <w:i/>
        </w:rPr>
        <w:t>synchronization reference source</w:t>
      </w:r>
      <w:r>
        <w:rPr>
          <w:b/>
          <w:i/>
        </w:rPr>
        <w:t>.</w:t>
      </w:r>
      <w:bookmarkEnd w:id="12"/>
    </w:p>
    <w:p w14:paraId="78369798" w14:textId="68533971" w:rsidR="001B6C6D" w:rsidRDefault="001B6C6D" w:rsidP="00B678D0">
      <w:pPr>
        <w:jc w:val="both"/>
        <w:rPr>
          <w:b/>
          <w:i/>
        </w:rPr>
      </w:pPr>
      <w:bookmarkStart w:id="13" w:name="_Ref19721464"/>
      <w:r w:rsidRPr="00226EF3">
        <w:rPr>
          <w:b/>
          <w:i/>
        </w:rPr>
        <w:lastRenderedPageBreak/>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8D3A62">
        <w:rPr>
          <w:b/>
          <w:i/>
          <w:noProof/>
        </w:rPr>
        <w:t>8</w:t>
      </w:r>
      <w:r w:rsidRPr="00226EF3">
        <w:rPr>
          <w:b/>
          <w:i/>
        </w:rPr>
        <w:fldChar w:fldCharType="end"/>
      </w:r>
      <w:r w:rsidRPr="00226EF3">
        <w:rPr>
          <w:b/>
          <w:i/>
        </w:rPr>
        <w:t>:</w:t>
      </w:r>
      <w:r>
        <w:rPr>
          <w:b/>
          <w:i/>
        </w:rPr>
        <w:t xml:space="preserve"> The measurement time could re-use LTE intra-frequency measurement time when eNB is used as </w:t>
      </w:r>
      <w:r w:rsidRPr="008215C8">
        <w:rPr>
          <w:b/>
          <w:i/>
        </w:rPr>
        <w:t>synchronization reference source</w:t>
      </w:r>
      <w:r>
        <w:rPr>
          <w:b/>
          <w:i/>
        </w:rPr>
        <w:t>.</w:t>
      </w:r>
      <w:bookmarkEnd w:id="13"/>
    </w:p>
    <w:p w14:paraId="6740A397" w14:textId="68148CFA" w:rsidR="001B6C6D" w:rsidRDefault="001B6C6D" w:rsidP="005C54FF">
      <w:pPr>
        <w:pStyle w:val="af3"/>
        <w:numPr>
          <w:ilvl w:val="0"/>
          <w:numId w:val="9"/>
        </w:numPr>
        <w:jc w:val="both"/>
        <w:rPr>
          <w:lang w:val="en-GB"/>
        </w:rPr>
      </w:pPr>
      <w:r w:rsidRPr="001B6C6D">
        <w:rPr>
          <w:lang w:val="en-GB"/>
        </w:rPr>
        <w:t xml:space="preserve">GNSS </w:t>
      </w:r>
      <w:r>
        <w:rPr>
          <w:lang w:val="en-GB"/>
        </w:rPr>
        <w:t>as SyncRef source</w:t>
      </w:r>
    </w:p>
    <w:p w14:paraId="5507C12B" w14:textId="17FF5250" w:rsidR="00026C4E" w:rsidRDefault="00026C4E" w:rsidP="00EC3561">
      <w:pPr>
        <w:autoSpaceDE w:val="0"/>
        <w:autoSpaceDN w:val="0"/>
        <w:spacing w:after="0" w:line="240" w:lineRule="auto"/>
        <w:jc w:val="both"/>
        <w:rPr>
          <w:lang w:val="en-GB"/>
        </w:rPr>
      </w:pPr>
      <w:r>
        <w:rPr>
          <w:lang w:val="en-GB"/>
        </w:rPr>
        <w:t>In legacy LTE V2X, UE will always transmit the SLSS when UE is</w:t>
      </w:r>
      <w:r w:rsidR="001B6C6D">
        <w:rPr>
          <w:lang w:val="en-GB"/>
        </w:rPr>
        <w:t xml:space="preserve"> out of coverage on the sidelink carrier</w:t>
      </w:r>
      <w:r>
        <w:rPr>
          <w:lang w:val="en-GB"/>
        </w:rPr>
        <w:t xml:space="preserve"> and choose GNSS as SyncRef source</w:t>
      </w:r>
      <w:r w:rsidR="001B6C6D">
        <w:rPr>
          <w:lang w:val="en-GB"/>
        </w:rPr>
        <w:t>.</w:t>
      </w:r>
      <w:r>
        <w:rPr>
          <w:lang w:val="en-GB"/>
        </w:rPr>
        <w:t xml:space="preserve"> </w:t>
      </w:r>
      <w:r w:rsidRPr="00A465C4">
        <w:rPr>
          <w:lang w:val="en-GB"/>
        </w:rPr>
        <w:t xml:space="preserve">There is no need to define </w:t>
      </w:r>
      <w:r w:rsidR="00A465C4" w:rsidRPr="00A465C4">
        <w:rPr>
          <w:lang w:val="en-GB"/>
        </w:rPr>
        <w:t>th</w:t>
      </w:r>
      <w:r w:rsidR="00A465C4" w:rsidRPr="00CD33D4">
        <w:rPr>
          <w:lang w:val="en-GB"/>
        </w:rPr>
        <w:t>is</w:t>
      </w:r>
      <w:r w:rsidR="00A465C4" w:rsidRPr="00A465C4">
        <w:rPr>
          <w:lang w:val="en-GB"/>
        </w:rPr>
        <w:t xml:space="preserve"> </w:t>
      </w:r>
      <w:r w:rsidRPr="00A465C4">
        <w:rPr>
          <w:lang w:val="en-GB"/>
        </w:rPr>
        <w:t>requirement on this scenario</w:t>
      </w:r>
      <w:r>
        <w:rPr>
          <w:lang w:val="en-GB"/>
        </w:rPr>
        <w:t xml:space="preserve">. In another scenario, UE should measure and evaluate the RSRP of the serving cell when UE is out of coverage on the sidelink carrier and in-coverage with a serving cell on a non-V2X carrier. </w:t>
      </w:r>
      <w:r w:rsidR="00EC3561" w:rsidRPr="00EC3561">
        <w:rPr>
          <w:lang w:val="en-GB"/>
        </w:rPr>
        <w:t>UE still has to keep measuring gNB/eNB to know whether it is enter the coverage of a BS. The corresponding measurement requirements can refer to the previous discussion when gNB/eNB as SyncRef source, following the same rule as LTE V2X</w:t>
      </w:r>
      <w:r w:rsidRPr="00A465C4">
        <w:rPr>
          <w:lang w:val="en-GB"/>
        </w:rPr>
        <w:t>.</w:t>
      </w:r>
    </w:p>
    <w:p w14:paraId="548F2D6A" w14:textId="270448A5" w:rsidR="00026C4E" w:rsidRDefault="00026C4E" w:rsidP="00B678D0">
      <w:pPr>
        <w:jc w:val="both"/>
        <w:rPr>
          <w:b/>
          <w:i/>
        </w:rPr>
      </w:pPr>
      <w:bookmarkStart w:id="14" w:name="_Ref19721466"/>
      <w:r w:rsidRPr="007B3098">
        <w:rPr>
          <w:b/>
          <w:i/>
        </w:rPr>
        <w:t xml:space="preserve">Proposal </w:t>
      </w:r>
      <w:r w:rsidRPr="007B3098">
        <w:rPr>
          <w:b/>
          <w:i/>
        </w:rPr>
        <w:fldChar w:fldCharType="begin"/>
      </w:r>
      <w:r w:rsidRPr="007B3098">
        <w:rPr>
          <w:b/>
          <w:i/>
        </w:rPr>
        <w:instrText xml:space="preserve"> SEQ Proposal \* ARABIC </w:instrText>
      </w:r>
      <w:r w:rsidRPr="007B3098">
        <w:rPr>
          <w:b/>
          <w:i/>
        </w:rPr>
        <w:fldChar w:fldCharType="separate"/>
      </w:r>
      <w:r w:rsidR="008D3A62" w:rsidRPr="007B3098">
        <w:rPr>
          <w:b/>
          <w:i/>
          <w:noProof/>
        </w:rPr>
        <w:t>9</w:t>
      </w:r>
      <w:r w:rsidRPr="007B3098">
        <w:rPr>
          <w:b/>
          <w:i/>
        </w:rPr>
        <w:fldChar w:fldCharType="end"/>
      </w:r>
      <w:r w:rsidRPr="007B3098">
        <w:rPr>
          <w:b/>
          <w:i/>
        </w:rPr>
        <w:t xml:space="preserve">: The measurement time could </w:t>
      </w:r>
      <w:r w:rsidR="007B3098" w:rsidRPr="007B3098">
        <w:rPr>
          <w:rFonts w:hint="eastAsia"/>
          <w:b/>
          <w:i/>
        </w:rPr>
        <w:t>follow</w:t>
      </w:r>
      <w:r w:rsidR="007B3098" w:rsidRPr="007B3098">
        <w:rPr>
          <w:b/>
          <w:i/>
        </w:rPr>
        <w:t xml:space="preserve"> the discussion on </w:t>
      </w:r>
      <w:r w:rsidRPr="007B3098">
        <w:rPr>
          <w:b/>
          <w:i/>
        </w:rPr>
        <w:t>gNB/eNB as SyncRef sou</w:t>
      </w:r>
      <w:r w:rsidR="008C5F58" w:rsidRPr="007B3098">
        <w:rPr>
          <w:b/>
          <w:i/>
        </w:rPr>
        <w:t>r</w:t>
      </w:r>
      <w:r w:rsidRPr="007B3098">
        <w:rPr>
          <w:b/>
          <w:i/>
        </w:rPr>
        <w:t>ce when GNSS is used as synchronization reference source.</w:t>
      </w:r>
      <w:bookmarkEnd w:id="14"/>
    </w:p>
    <w:p w14:paraId="3A9E96DD" w14:textId="77777777" w:rsidR="00026C4E" w:rsidRDefault="00026C4E" w:rsidP="005C54FF">
      <w:pPr>
        <w:pStyle w:val="af3"/>
        <w:numPr>
          <w:ilvl w:val="0"/>
          <w:numId w:val="9"/>
        </w:numPr>
        <w:jc w:val="both"/>
        <w:rPr>
          <w:lang w:val="en-GB"/>
        </w:rPr>
      </w:pPr>
      <w:r w:rsidRPr="00026C4E">
        <w:rPr>
          <w:lang w:val="en-GB"/>
        </w:rPr>
        <w:t xml:space="preserve">SyncRef UE </w:t>
      </w:r>
      <w:r>
        <w:rPr>
          <w:lang w:val="en-GB"/>
        </w:rPr>
        <w:t>as SyncRef source</w:t>
      </w:r>
    </w:p>
    <w:p w14:paraId="44CD7C29" w14:textId="1B9EAC87" w:rsidR="001B6C6D" w:rsidRPr="0097559A" w:rsidRDefault="003D2F6D" w:rsidP="00B678D0">
      <w:pPr>
        <w:ind w:left="360"/>
        <w:jc w:val="both"/>
        <w:rPr>
          <w:b/>
          <w:lang w:val="en-GB"/>
        </w:rPr>
      </w:pPr>
      <w:r w:rsidRPr="0097559A">
        <w:rPr>
          <w:b/>
          <w:lang w:val="en-GB"/>
        </w:rPr>
        <w:t>Side Condition</w:t>
      </w:r>
    </w:p>
    <w:p w14:paraId="314D7BD4" w14:textId="7956350A" w:rsidR="003D2F6D" w:rsidRDefault="003D2F6D" w:rsidP="00B678D0">
      <w:pPr>
        <w:jc w:val="both"/>
        <w:rPr>
          <w:lang w:val="en-GB"/>
        </w:rPr>
      </w:pPr>
      <w:r>
        <w:rPr>
          <w:lang w:val="en-GB"/>
        </w:rPr>
        <w:t xml:space="preserve">Compared with legacy LTE V2X, the channel condition of typical application scenarios are the same. Thus, </w:t>
      </w:r>
      <w:r w:rsidRPr="003D2F6D">
        <w:rPr>
          <w:lang w:val="en-GB"/>
        </w:rPr>
        <w:t>RAN4</w:t>
      </w:r>
      <w:r>
        <w:rPr>
          <w:lang w:val="en-GB"/>
        </w:rPr>
        <w:t xml:space="preserve"> could re-use legacy LTE V2X S-RSRP side condition in NR V2X.</w:t>
      </w:r>
    </w:p>
    <w:p w14:paraId="7B3DB3DF" w14:textId="1F2D6A95" w:rsidR="003D2F6D" w:rsidRDefault="003D2F6D" w:rsidP="00B678D0">
      <w:pPr>
        <w:jc w:val="both"/>
        <w:rPr>
          <w:b/>
          <w:i/>
        </w:rPr>
      </w:pPr>
      <w:bookmarkStart w:id="15" w:name="_Ref19721469"/>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8D3A62">
        <w:rPr>
          <w:b/>
          <w:i/>
          <w:noProof/>
        </w:rPr>
        <w:t>10</w:t>
      </w:r>
      <w:r w:rsidRPr="00226EF3">
        <w:rPr>
          <w:b/>
          <w:i/>
        </w:rPr>
        <w:fldChar w:fldCharType="end"/>
      </w:r>
      <w:r w:rsidRPr="00226EF3">
        <w:rPr>
          <w:b/>
          <w:i/>
        </w:rPr>
        <w:t>:</w:t>
      </w:r>
      <w:r>
        <w:rPr>
          <w:b/>
          <w:i/>
        </w:rPr>
        <w:t xml:space="preserve"> Re-use legacy LTE V2X S-RSRP side condition in NR V2X</w:t>
      </w:r>
      <w:r w:rsidR="00490E1B">
        <w:rPr>
          <w:b/>
          <w:i/>
        </w:rPr>
        <w:t xml:space="preserve"> S-RSRP measurement simulation</w:t>
      </w:r>
      <w:r>
        <w:rPr>
          <w:b/>
          <w:i/>
        </w:rPr>
        <w:t>.</w:t>
      </w:r>
      <w:bookmarkEnd w:id="15"/>
    </w:p>
    <w:p w14:paraId="1768B05B" w14:textId="5A0B6B3F" w:rsidR="003D2F6D" w:rsidRPr="0097559A" w:rsidRDefault="003D2F6D" w:rsidP="00B678D0">
      <w:pPr>
        <w:ind w:left="360"/>
        <w:jc w:val="both"/>
        <w:rPr>
          <w:b/>
          <w:lang w:val="en-GB"/>
        </w:rPr>
      </w:pPr>
      <w:r w:rsidRPr="0097559A">
        <w:rPr>
          <w:b/>
          <w:lang w:val="en-GB"/>
        </w:rPr>
        <w:t>Measurement Time</w:t>
      </w:r>
    </w:p>
    <w:p w14:paraId="196869FE" w14:textId="02C63ABE" w:rsidR="003D2F6D" w:rsidRDefault="0097559A" w:rsidP="00B678D0">
      <w:pPr>
        <w:jc w:val="both"/>
        <w:rPr>
          <w:lang w:val="en-GB"/>
        </w:rPr>
      </w:pPr>
      <w:r>
        <w:rPr>
          <w:lang w:val="en-GB"/>
        </w:rPr>
        <w:t>The S-RSRP measurement time will deduce by the measurement simulation. It is suggested RAN4 could have some agreements on the simulation assumption and c</w:t>
      </w:r>
      <w:r w:rsidRPr="0097559A">
        <w:rPr>
          <w:lang w:val="en-GB"/>
        </w:rPr>
        <w:t xml:space="preserve">ompanies are encouraged to </w:t>
      </w:r>
      <w:r>
        <w:rPr>
          <w:lang w:val="en-GB"/>
        </w:rPr>
        <w:t>give the simulation results after aligning the simulation assumption.</w:t>
      </w:r>
    </w:p>
    <w:p w14:paraId="17C5C03C" w14:textId="04F22F6A" w:rsidR="0097559A" w:rsidRPr="001B6C6D" w:rsidRDefault="0097559A" w:rsidP="00B678D0">
      <w:pPr>
        <w:jc w:val="both"/>
        <w:rPr>
          <w:b/>
          <w:u w:val="single"/>
          <w:lang w:val="en-GB"/>
        </w:rPr>
      </w:pPr>
      <w:r>
        <w:rPr>
          <w:b/>
          <w:u w:val="single"/>
          <w:lang w:val="en-GB"/>
        </w:rPr>
        <w:t>Evaluation</w:t>
      </w:r>
      <w:r w:rsidRPr="001B6C6D">
        <w:rPr>
          <w:b/>
          <w:u w:val="single"/>
          <w:lang w:val="en-GB"/>
        </w:rPr>
        <w:t xml:space="preserve"> Time</w:t>
      </w:r>
    </w:p>
    <w:p w14:paraId="178807FD" w14:textId="215BB0BF" w:rsidR="00490E1B" w:rsidRDefault="0097559A" w:rsidP="00B678D0">
      <w:pPr>
        <w:jc w:val="both"/>
        <w:rPr>
          <w:lang w:val="en-GB"/>
        </w:rPr>
      </w:pPr>
      <w:r>
        <w:rPr>
          <w:lang w:val="en-GB"/>
        </w:rPr>
        <w:t>In last RAN4 meeting, an agreement for evaluation</w:t>
      </w:r>
      <w:r w:rsidR="00490E1B">
        <w:rPr>
          <w:lang w:val="en-GB"/>
        </w:rPr>
        <w:t xml:space="preserve"> time when </w:t>
      </w:r>
      <w:r w:rsidR="00490E1B" w:rsidRPr="00490E1B">
        <w:rPr>
          <w:lang w:val="en-GB"/>
        </w:rPr>
        <w:t>NR serving cell is used as synchronization reference source</w:t>
      </w:r>
      <w:r w:rsidR="00490E1B">
        <w:rPr>
          <w:lang w:val="en-GB"/>
        </w:rPr>
        <w:t xml:space="preserve"> is shown as follow. </w:t>
      </w:r>
      <w:r w:rsidR="00490E1B">
        <w:t xml:space="preserve">Generally, the evaluation time for UE to check whether the channel condition fulfills one criteria should be a multiple of the measurement periods for RSRP/S-RSRP because the small scale fading impact should be </w:t>
      </w:r>
      <w:r w:rsidR="00490E1B" w:rsidRPr="001300E3">
        <w:t>alleviate</w:t>
      </w:r>
      <w:r w:rsidR="00490E1B">
        <w:t xml:space="preserve">d </w:t>
      </w:r>
      <w:r w:rsidR="009873A6">
        <w:t>with</w:t>
      </w:r>
      <w:r w:rsidR="00490E1B">
        <w:t>in the evaluation time. Thus, i</w:t>
      </w:r>
      <w:r w:rsidR="00490E1B">
        <w:rPr>
          <w:lang w:val="en-GB"/>
        </w:rPr>
        <w:t xml:space="preserve">t’s better to use the same framework for all the SyncRef source scenario. </w:t>
      </w:r>
    </w:p>
    <w:tbl>
      <w:tblPr>
        <w:tblStyle w:val="af4"/>
        <w:tblW w:w="0" w:type="auto"/>
        <w:tblLook w:val="04A0" w:firstRow="1" w:lastRow="0" w:firstColumn="1" w:lastColumn="0" w:noHBand="0" w:noVBand="1"/>
      </w:tblPr>
      <w:tblGrid>
        <w:gridCol w:w="9629"/>
      </w:tblGrid>
      <w:tr w:rsidR="00490E1B" w14:paraId="5478E461" w14:textId="77777777" w:rsidTr="00490E1B">
        <w:tc>
          <w:tcPr>
            <w:tcW w:w="9629" w:type="dxa"/>
          </w:tcPr>
          <w:p w14:paraId="28FCAB84" w14:textId="77777777" w:rsidR="00490E1B" w:rsidRPr="001B6C6D" w:rsidRDefault="00490E1B" w:rsidP="005C54FF">
            <w:pPr>
              <w:pStyle w:val="Default"/>
              <w:numPr>
                <w:ilvl w:val="0"/>
                <w:numId w:val="10"/>
              </w:numPr>
              <w:jc w:val="both"/>
              <w:rPr>
                <w:rFonts w:asciiTheme="minorHAnsi" w:hAnsiTheme="minorHAnsi" w:cstheme="minorHAnsi"/>
                <w:sz w:val="20"/>
              </w:rPr>
            </w:pPr>
            <w:r w:rsidRPr="001B6C6D">
              <w:rPr>
                <w:rFonts w:asciiTheme="minorHAnsi" w:hAnsiTheme="minorHAnsi" w:cstheme="minorHAnsi"/>
                <w:sz w:val="20"/>
              </w:rPr>
              <w:t>Initiation/cease of SLSS transmission</w:t>
            </w:r>
          </w:p>
          <w:p w14:paraId="7B6B0A59" w14:textId="004CA7B2" w:rsidR="00490E1B" w:rsidRDefault="00490E1B" w:rsidP="00B678D0">
            <w:pPr>
              <w:jc w:val="both"/>
              <w:rPr>
                <w:lang w:val="en-GB"/>
              </w:rPr>
            </w:pPr>
            <w:r w:rsidRPr="001B6C6D">
              <w:rPr>
                <w:rFonts w:eastAsia="Microsoft JhengHei" w:cstheme="minorHAnsi"/>
                <w:color w:val="000000"/>
                <w:sz w:val="20"/>
                <w:szCs w:val="24"/>
                <w:lang w:val="en-GB"/>
              </w:rPr>
              <w:t>When NR serving cell is used as synchronization reference source, evaluation time is [X] times of NR intra-frequency measurement time.</w:t>
            </w:r>
          </w:p>
        </w:tc>
      </w:tr>
    </w:tbl>
    <w:p w14:paraId="5FAE41B8" w14:textId="07CBCA43" w:rsidR="0097559A" w:rsidRPr="00B55069" w:rsidRDefault="00490E1B" w:rsidP="00B678D0">
      <w:pPr>
        <w:spacing w:before="120"/>
        <w:jc w:val="both"/>
        <w:rPr>
          <w:rFonts w:eastAsia="Microsoft JhengHei" w:cstheme="minorHAnsi"/>
          <w:b/>
          <w:i/>
          <w:color w:val="000000"/>
          <w:lang w:val="en-GB"/>
        </w:rPr>
      </w:pPr>
      <w:bookmarkStart w:id="16" w:name="_Ref19721472"/>
      <w:r w:rsidRPr="00B55069">
        <w:rPr>
          <w:b/>
          <w:i/>
        </w:rPr>
        <w:t xml:space="preserve">Proposal </w:t>
      </w:r>
      <w:r w:rsidRPr="00B55069">
        <w:rPr>
          <w:b/>
          <w:i/>
        </w:rPr>
        <w:fldChar w:fldCharType="begin"/>
      </w:r>
      <w:r w:rsidRPr="00B55069">
        <w:rPr>
          <w:b/>
          <w:i/>
        </w:rPr>
        <w:instrText xml:space="preserve"> SEQ Proposal \* ARABIC </w:instrText>
      </w:r>
      <w:r w:rsidRPr="00B55069">
        <w:rPr>
          <w:b/>
          <w:i/>
        </w:rPr>
        <w:fldChar w:fldCharType="separate"/>
      </w:r>
      <w:r w:rsidR="008D3A62">
        <w:rPr>
          <w:b/>
          <w:i/>
          <w:noProof/>
        </w:rPr>
        <w:t>11</w:t>
      </w:r>
      <w:r w:rsidRPr="00B55069">
        <w:rPr>
          <w:b/>
          <w:i/>
        </w:rPr>
        <w:fldChar w:fldCharType="end"/>
      </w:r>
      <w:r w:rsidRPr="00B55069">
        <w:rPr>
          <w:b/>
          <w:i/>
        </w:rPr>
        <w:t xml:space="preserve">: </w:t>
      </w:r>
      <w:r w:rsidRPr="00B55069">
        <w:rPr>
          <w:rFonts w:eastAsia="Microsoft JhengHei" w:cstheme="minorHAnsi"/>
          <w:b/>
          <w:i/>
          <w:color w:val="000000"/>
          <w:lang w:val="en-GB"/>
        </w:rPr>
        <w:t>When SyncRef UE is used as synchronization reference source, evaluation time is [X] times of S-RSRP measurement time.</w:t>
      </w:r>
      <w:bookmarkEnd w:id="16"/>
    </w:p>
    <w:p w14:paraId="145795C4" w14:textId="5E7FF899" w:rsidR="00490E1B" w:rsidRPr="00B55069" w:rsidRDefault="00490E1B" w:rsidP="00B678D0">
      <w:pPr>
        <w:jc w:val="both"/>
        <w:rPr>
          <w:b/>
          <w:i/>
          <w:lang w:val="en-GB"/>
        </w:rPr>
      </w:pPr>
      <w:bookmarkStart w:id="17" w:name="_Ref19721475"/>
      <w:r w:rsidRPr="00B55069">
        <w:rPr>
          <w:b/>
          <w:i/>
        </w:rPr>
        <w:t xml:space="preserve">Proposal </w:t>
      </w:r>
      <w:r w:rsidRPr="00B55069">
        <w:rPr>
          <w:b/>
          <w:i/>
        </w:rPr>
        <w:fldChar w:fldCharType="begin"/>
      </w:r>
      <w:r w:rsidRPr="00B55069">
        <w:rPr>
          <w:b/>
          <w:i/>
        </w:rPr>
        <w:instrText xml:space="preserve"> SEQ Proposal \* ARABIC </w:instrText>
      </w:r>
      <w:r w:rsidRPr="00B55069">
        <w:rPr>
          <w:b/>
          <w:i/>
        </w:rPr>
        <w:fldChar w:fldCharType="separate"/>
      </w:r>
      <w:r w:rsidR="008D3A62">
        <w:rPr>
          <w:b/>
          <w:i/>
          <w:noProof/>
        </w:rPr>
        <w:t>12</w:t>
      </w:r>
      <w:r w:rsidRPr="00B55069">
        <w:rPr>
          <w:b/>
          <w:i/>
        </w:rPr>
        <w:fldChar w:fldCharType="end"/>
      </w:r>
      <w:r w:rsidRPr="00B55069">
        <w:rPr>
          <w:b/>
          <w:i/>
        </w:rPr>
        <w:t xml:space="preserve">: </w:t>
      </w:r>
      <w:r w:rsidRPr="00B55069">
        <w:rPr>
          <w:rFonts w:eastAsia="Microsoft JhengHei" w:cstheme="minorHAnsi"/>
          <w:b/>
          <w:i/>
          <w:color w:val="000000"/>
          <w:lang w:val="en-GB"/>
        </w:rPr>
        <w:t>When LTE serving cell is used as synchronization reference source, evaluation time is [X] times of LTE intra-frequency measurement time.</w:t>
      </w:r>
      <w:bookmarkEnd w:id="17"/>
    </w:p>
    <w:p w14:paraId="7C6FC139" w14:textId="77777777" w:rsidR="00CE0D5E" w:rsidRPr="000C45FD" w:rsidRDefault="00141644" w:rsidP="005C54FF">
      <w:pPr>
        <w:pStyle w:val="1"/>
        <w:numPr>
          <w:ilvl w:val="0"/>
          <w:numId w:val="1"/>
        </w:numPr>
        <w:rPr>
          <w:rFonts w:ascii="Calibri" w:hAnsi="Calibri"/>
          <w:lang w:eastAsia="zh-CN"/>
        </w:rPr>
      </w:pPr>
      <w:r>
        <w:rPr>
          <w:rFonts w:ascii="Calibri" w:hAnsi="Calibri"/>
        </w:rPr>
        <w:t>Summary</w:t>
      </w:r>
    </w:p>
    <w:p w14:paraId="66549B52" w14:textId="42586E62" w:rsidR="00B420D5" w:rsidRDefault="006F7557" w:rsidP="00AF429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850646">
        <w:t>have some discussion on how to choose syncRef source in EN-DC network and the requirement about initiation of SLSS transmission.</w:t>
      </w:r>
    </w:p>
    <w:p w14:paraId="068BABA6" w14:textId="5012676F" w:rsidR="00C166DB" w:rsidRPr="00C166DB" w:rsidRDefault="00C166DB" w:rsidP="00AF429C">
      <w:pPr>
        <w:adjustRightInd w:val="0"/>
        <w:snapToGrid w:val="0"/>
        <w:spacing w:before="180" w:after="120"/>
        <w:jc w:val="both"/>
        <w:rPr>
          <w:b/>
        </w:rPr>
      </w:pPr>
      <w:r w:rsidRPr="00C166DB">
        <w:rPr>
          <w:b/>
        </w:rPr>
        <w:fldChar w:fldCharType="begin"/>
      </w:r>
      <w:r w:rsidRPr="00C166DB">
        <w:rPr>
          <w:b/>
        </w:rPr>
        <w:instrText xml:space="preserve"> REF _Ref20669724 \h </w:instrText>
      </w:r>
      <w:r>
        <w:rPr>
          <w:b/>
        </w:rPr>
        <w:instrText xml:space="preserve"> \* MERGEFORMAT </w:instrText>
      </w:r>
      <w:r w:rsidRPr="00C166DB">
        <w:rPr>
          <w:b/>
        </w:rPr>
      </w:r>
      <w:r w:rsidRPr="00C166DB">
        <w:rPr>
          <w:b/>
        </w:rPr>
        <w:fldChar w:fldCharType="separate"/>
      </w:r>
      <w:r w:rsidR="008D3A62" w:rsidRPr="008D3A62">
        <w:rPr>
          <w:b/>
          <w:i/>
        </w:rPr>
        <w:t xml:space="preserve">Observation </w:t>
      </w:r>
      <w:r w:rsidR="008D3A62" w:rsidRPr="008D3A62">
        <w:rPr>
          <w:b/>
          <w:i/>
          <w:noProof/>
        </w:rPr>
        <w:t>1</w:t>
      </w:r>
      <w:r w:rsidR="008D3A62" w:rsidRPr="008D3A62">
        <w:rPr>
          <w:b/>
          <w:i/>
        </w:rPr>
        <w:t>: From RAN4’s view, the rule of chosen synchronous reference source is ambiguous in EN-DC and NE-DC scenario.</w:t>
      </w:r>
      <w:r w:rsidRPr="00C166DB">
        <w:rPr>
          <w:b/>
        </w:rPr>
        <w:fldChar w:fldCharType="end"/>
      </w:r>
    </w:p>
    <w:p w14:paraId="1650730C" w14:textId="53EA73BC" w:rsidR="00C166DB" w:rsidRDefault="00C166DB" w:rsidP="00AF429C">
      <w:pPr>
        <w:adjustRightInd w:val="0"/>
        <w:snapToGrid w:val="0"/>
        <w:spacing w:before="180" w:after="120"/>
        <w:jc w:val="both"/>
      </w:pPr>
      <w:r>
        <w:lastRenderedPageBreak/>
        <w:fldChar w:fldCharType="begin"/>
      </w:r>
      <w:r>
        <w:instrText xml:space="preserve"> REF _Ref16773715 \h </w:instrText>
      </w:r>
      <w:r>
        <w:fldChar w:fldCharType="separate"/>
      </w:r>
      <w:r w:rsidR="007B3098" w:rsidRPr="00F85E42">
        <w:rPr>
          <w:b/>
          <w:i/>
        </w:rPr>
        <w:t xml:space="preserve">Observation </w:t>
      </w:r>
      <w:r w:rsidR="007B3098" w:rsidRPr="00F85E42">
        <w:rPr>
          <w:i/>
          <w:noProof/>
        </w:rPr>
        <w:t>2</w:t>
      </w:r>
      <w:r w:rsidR="007B3098" w:rsidRPr="00F85E42">
        <w:rPr>
          <w:b/>
          <w:i/>
        </w:rPr>
        <w:t xml:space="preserve">: SCH Ês/Iot condition is 0dB when considering SLSS </w:t>
      </w:r>
      <w:r w:rsidR="007B3098" w:rsidRPr="00F85E42">
        <w:rPr>
          <w:rFonts w:hint="eastAsia"/>
          <w:b/>
          <w:i/>
        </w:rPr>
        <w:t>transmis</w:t>
      </w:r>
      <w:r w:rsidR="007B3098" w:rsidRPr="00F85E42">
        <w:rPr>
          <w:b/>
          <w:i/>
        </w:rPr>
        <w:t>sion dropping rate in legacy LTE V2X.</w:t>
      </w:r>
      <w:r>
        <w:fldChar w:fldCharType="end"/>
      </w:r>
    </w:p>
    <w:p w14:paraId="6466CA70" w14:textId="719629C6" w:rsidR="00C166DB" w:rsidRDefault="00C166DB" w:rsidP="00AF429C">
      <w:pPr>
        <w:adjustRightInd w:val="0"/>
        <w:snapToGrid w:val="0"/>
        <w:spacing w:before="180" w:after="120"/>
        <w:jc w:val="both"/>
      </w:pPr>
      <w:r>
        <w:fldChar w:fldCharType="begin"/>
      </w:r>
      <w:r>
        <w:instrText xml:space="preserve"> REF _Ref16184843 \h </w:instrText>
      </w:r>
      <w:r>
        <w:fldChar w:fldCharType="separate"/>
      </w:r>
      <w:r w:rsidR="007B3098" w:rsidRPr="007B3098">
        <w:rPr>
          <w:b/>
          <w:i/>
        </w:rPr>
        <w:t xml:space="preserve">Observation </w:t>
      </w:r>
      <w:r w:rsidR="007B3098" w:rsidRPr="007B3098">
        <w:rPr>
          <w:i/>
          <w:noProof/>
        </w:rPr>
        <w:t>3</w:t>
      </w:r>
      <w:r w:rsidR="007B3098" w:rsidRPr="007B3098">
        <w:rPr>
          <w:b/>
          <w:i/>
        </w:rPr>
        <w:t>: Compared to legacy LTE V2X UE, NR V2X UE could have better S-PSS/S-SSS detection rate and lower dropping rate for selection/reselection of V2X synchronization reference source.</w:t>
      </w:r>
      <w:r>
        <w:fldChar w:fldCharType="end"/>
      </w:r>
    </w:p>
    <w:p w14:paraId="609E8AAA" w14:textId="78B52DE3" w:rsidR="008D3A62" w:rsidRDefault="008C0412" w:rsidP="001F5CCB">
      <w:pPr>
        <w:jc w:val="both"/>
        <w:rPr>
          <w:b/>
          <w:i/>
        </w:rPr>
      </w:pPr>
      <w:r>
        <w:rPr>
          <w:b/>
          <w:sz w:val="20"/>
          <w:szCs w:val="20"/>
          <w:lang w:val="x-none" w:eastAsia="x-none"/>
        </w:rPr>
        <w:fldChar w:fldCharType="begin"/>
      </w:r>
      <w:r>
        <w:instrText xml:space="preserve"> REF _Ref19958513 \h </w:instrText>
      </w:r>
      <w:r>
        <w:rPr>
          <w:b/>
          <w:sz w:val="20"/>
          <w:szCs w:val="20"/>
          <w:lang w:val="x-none" w:eastAsia="x-none"/>
        </w:rPr>
      </w:r>
      <w:r>
        <w:rPr>
          <w:b/>
          <w:sz w:val="20"/>
          <w:szCs w:val="20"/>
          <w:lang w:val="x-none" w:eastAsia="x-none"/>
        </w:rPr>
        <w:fldChar w:fldCharType="separate"/>
      </w:r>
      <w:r w:rsidR="001F5CCB">
        <w:rPr>
          <w:b/>
          <w:sz w:val="20"/>
          <w:szCs w:val="20"/>
          <w:lang w:val="x-none" w:eastAsia="x-none"/>
        </w:rPr>
        <w:fldChar w:fldCharType="begin"/>
      </w:r>
      <w:r w:rsidR="001F5CCB">
        <w:rPr>
          <w:b/>
          <w:sz w:val="20"/>
          <w:szCs w:val="20"/>
          <w:lang w:val="x-none" w:eastAsia="x-none"/>
        </w:rPr>
        <w:instrText xml:space="preserve"> REF _Ref20670058 \h </w:instrText>
      </w:r>
      <w:r w:rsidR="001F5CCB">
        <w:rPr>
          <w:b/>
          <w:sz w:val="20"/>
          <w:szCs w:val="20"/>
          <w:lang w:val="x-none" w:eastAsia="x-none"/>
        </w:rPr>
      </w:r>
      <w:r w:rsidR="001F5CCB">
        <w:rPr>
          <w:b/>
          <w:sz w:val="20"/>
          <w:szCs w:val="20"/>
          <w:lang w:val="x-none" w:eastAsia="x-none"/>
        </w:rPr>
        <w:fldChar w:fldCharType="separate"/>
      </w:r>
      <w:r w:rsidR="001F5CCB" w:rsidRPr="00226EF3">
        <w:rPr>
          <w:b/>
          <w:i/>
        </w:rPr>
        <w:t xml:space="preserve">Proposal </w:t>
      </w:r>
      <w:r w:rsidR="001F5CCB">
        <w:rPr>
          <w:b/>
          <w:i/>
          <w:noProof/>
        </w:rPr>
        <w:t>1</w:t>
      </w:r>
      <w:r w:rsidR="001F5CCB" w:rsidRPr="00226EF3">
        <w:rPr>
          <w:b/>
          <w:i/>
        </w:rPr>
        <w:t>:</w:t>
      </w:r>
      <w:r w:rsidR="001F5CCB" w:rsidRPr="00AD1682">
        <w:rPr>
          <w:b/>
          <w:i/>
        </w:rPr>
        <w:t xml:space="preserve"> </w:t>
      </w:r>
      <w:r w:rsidR="001F5CCB">
        <w:rPr>
          <w:b/>
          <w:i/>
        </w:rPr>
        <w:t xml:space="preserve">There are three possible options for UE to choosing </w:t>
      </w:r>
      <w:r w:rsidR="001F5CCB" w:rsidRPr="00AD1682">
        <w:rPr>
          <w:b/>
          <w:i/>
        </w:rPr>
        <w:t>synchronization reference source</w:t>
      </w:r>
      <w:r w:rsidR="001F5CCB">
        <w:rPr>
          <w:b/>
          <w:i/>
        </w:rPr>
        <w:t xml:space="preserve"> when V2X sidelink frequency is out-of-coverage and Uu link is in-coverage in DC network,</w:t>
      </w:r>
      <w:r w:rsidR="001F5CCB">
        <w:rPr>
          <w:b/>
          <w:sz w:val="20"/>
          <w:szCs w:val="20"/>
          <w:lang w:val="x-none" w:eastAsia="x-none"/>
        </w:rPr>
        <w:fldChar w:fldCharType="end"/>
      </w:r>
    </w:p>
    <w:p w14:paraId="3D3A8D93" w14:textId="77777777" w:rsidR="008D3A62" w:rsidRDefault="008D3A62" w:rsidP="00850646">
      <w:pPr>
        <w:jc w:val="both"/>
        <w:rPr>
          <w:b/>
          <w:i/>
        </w:rPr>
      </w:pPr>
      <w:r>
        <w:rPr>
          <w:b/>
          <w:i/>
        </w:rPr>
        <w:t xml:space="preserve">Option 1: UE will always choose gNB as </w:t>
      </w:r>
      <w:r w:rsidRPr="00AD1682">
        <w:rPr>
          <w:b/>
          <w:i/>
        </w:rPr>
        <w:t>synchronization reference source</w:t>
      </w:r>
      <w:r>
        <w:rPr>
          <w:b/>
          <w:i/>
        </w:rPr>
        <w:t xml:space="preserve">; </w:t>
      </w:r>
    </w:p>
    <w:p w14:paraId="23B83404" w14:textId="77777777" w:rsidR="008D3A62" w:rsidRDefault="008D3A62" w:rsidP="00AC1594">
      <w:pPr>
        <w:jc w:val="both"/>
        <w:rPr>
          <w:b/>
          <w:i/>
        </w:rPr>
      </w:pPr>
      <w:r>
        <w:rPr>
          <w:b/>
          <w:i/>
        </w:rPr>
        <w:t xml:space="preserve">Option 2: </w:t>
      </w:r>
      <w:r w:rsidR="008C0412">
        <w:fldChar w:fldCharType="end"/>
      </w:r>
      <w:r w:rsidR="008C0412">
        <w:fldChar w:fldCharType="begin"/>
      </w:r>
      <w:r w:rsidR="008C0412">
        <w:instrText xml:space="preserve"> REF _Ref19958516 \h </w:instrText>
      </w:r>
      <w:r w:rsidR="008C0412">
        <w:fldChar w:fldCharType="separate"/>
      </w:r>
      <w:r w:rsidRPr="00AD1682">
        <w:rPr>
          <w:b/>
          <w:i/>
        </w:rPr>
        <w:t xml:space="preserve">UE </w:t>
      </w:r>
      <w:r>
        <w:rPr>
          <w:b/>
          <w:i/>
        </w:rPr>
        <w:t>shall</w:t>
      </w:r>
      <w:r w:rsidRPr="00AD1682">
        <w:rPr>
          <w:b/>
          <w:i/>
        </w:rPr>
        <w:t xml:space="preserve"> choose P</w:t>
      </w:r>
      <w:r>
        <w:rPr>
          <w:b/>
          <w:i/>
        </w:rPr>
        <w:t>C</w:t>
      </w:r>
      <w:r w:rsidRPr="00AD1682">
        <w:rPr>
          <w:b/>
          <w:i/>
        </w:rPr>
        <w:t>ell or P</w:t>
      </w:r>
      <w:r>
        <w:rPr>
          <w:b/>
          <w:i/>
        </w:rPr>
        <w:t>S</w:t>
      </w:r>
      <w:r w:rsidRPr="00AD1682">
        <w:rPr>
          <w:b/>
          <w:i/>
        </w:rPr>
        <w:t xml:space="preserve">cell as synchronization reference source based on their RSRP </w:t>
      </w:r>
      <w:r>
        <w:rPr>
          <w:b/>
          <w:i/>
        </w:rPr>
        <w:t>values;</w:t>
      </w:r>
    </w:p>
    <w:p w14:paraId="78957CFE" w14:textId="19E90879" w:rsidR="004D5C7D" w:rsidRDefault="008D3A62" w:rsidP="00AF429C">
      <w:pPr>
        <w:adjustRightInd w:val="0"/>
        <w:snapToGrid w:val="0"/>
        <w:spacing w:before="180" w:after="120"/>
        <w:jc w:val="both"/>
      </w:pPr>
      <w:r>
        <w:rPr>
          <w:b/>
          <w:i/>
        </w:rPr>
        <w:t xml:space="preserve">Option 3: UE shall always choose gNB as </w:t>
      </w:r>
      <w:r w:rsidRPr="00AD1682">
        <w:rPr>
          <w:b/>
          <w:i/>
        </w:rPr>
        <w:t>synchronization reference source</w:t>
      </w:r>
      <w:r>
        <w:rPr>
          <w:b/>
          <w:i/>
        </w:rPr>
        <w:t xml:space="preserve"> when both PCell and PSCell’s RSRP values are larger than a threshold configured by network; otherwise, </w:t>
      </w:r>
      <w:r w:rsidRPr="00AD1682">
        <w:rPr>
          <w:b/>
          <w:i/>
        </w:rPr>
        <w:t xml:space="preserve">UE </w:t>
      </w:r>
      <w:r>
        <w:rPr>
          <w:b/>
          <w:i/>
        </w:rPr>
        <w:t>shall</w:t>
      </w:r>
      <w:r w:rsidRPr="00AD1682">
        <w:rPr>
          <w:b/>
          <w:i/>
        </w:rPr>
        <w:t xml:space="preserve"> choose P</w:t>
      </w:r>
      <w:r>
        <w:rPr>
          <w:b/>
          <w:i/>
        </w:rPr>
        <w:t>C</w:t>
      </w:r>
      <w:r w:rsidRPr="00AD1682">
        <w:rPr>
          <w:b/>
          <w:i/>
        </w:rPr>
        <w:t>ell or P</w:t>
      </w:r>
      <w:r>
        <w:rPr>
          <w:b/>
          <w:i/>
        </w:rPr>
        <w:t>S</w:t>
      </w:r>
      <w:r w:rsidRPr="00AD1682">
        <w:rPr>
          <w:b/>
          <w:i/>
        </w:rPr>
        <w:t xml:space="preserve">cell as synchronization reference source based on their RSRP </w:t>
      </w:r>
      <w:r>
        <w:rPr>
          <w:b/>
          <w:i/>
        </w:rPr>
        <w:t xml:space="preserve">values. </w:t>
      </w:r>
      <w:r w:rsidR="008C0412">
        <w:fldChar w:fldCharType="end"/>
      </w:r>
    </w:p>
    <w:p w14:paraId="191EE729" w14:textId="113A697F" w:rsidR="00842EE0" w:rsidRDefault="00B55069" w:rsidP="00AF429C">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_Ref19721454 \h </w:instrText>
      </w:r>
      <w:r w:rsidR="00AF429C">
        <w:rPr>
          <w:sz w:val="20"/>
          <w:lang w:eastAsia="ko-KR"/>
        </w:rPr>
        <w:instrText xml:space="preserve"> \* MERGEFORMAT </w:instrText>
      </w:r>
      <w:r>
        <w:rPr>
          <w:sz w:val="20"/>
          <w:lang w:eastAsia="ko-KR"/>
        </w:rPr>
      </w:r>
      <w:r>
        <w:rPr>
          <w:sz w:val="20"/>
          <w:lang w:eastAsia="ko-KR"/>
        </w:rPr>
        <w:fldChar w:fldCharType="separate"/>
      </w:r>
      <w:r w:rsidR="008D3A62" w:rsidRPr="00226EF3">
        <w:rPr>
          <w:b/>
          <w:i/>
        </w:rPr>
        <w:t xml:space="preserve">Proposal </w:t>
      </w:r>
      <w:r w:rsidR="008D3A62">
        <w:rPr>
          <w:b/>
          <w:i/>
          <w:noProof/>
        </w:rPr>
        <w:t>2</w:t>
      </w:r>
      <w:r w:rsidR="008D3A62" w:rsidRPr="00226EF3">
        <w:rPr>
          <w:b/>
          <w:i/>
        </w:rPr>
        <w:t>:</w:t>
      </w:r>
      <w:r w:rsidR="008D3A62" w:rsidRPr="00AD1682">
        <w:rPr>
          <w:b/>
          <w:i/>
        </w:rPr>
        <w:t xml:space="preserve"> UE </w:t>
      </w:r>
      <w:r w:rsidR="008D3A62">
        <w:rPr>
          <w:b/>
          <w:i/>
        </w:rPr>
        <w:t>shall</w:t>
      </w:r>
      <w:r w:rsidR="008D3A62" w:rsidRPr="00AD1682">
        <w:rPr>
          <w:b/>
          <w:i/>
        </w:rPr>
        <w:t xml:space="preserve"> choose</w:t>
      </w:r>
      <w:r w:rsidR="008D3A62">
        <w:rPr>
          <w:b/>
          <w:i/>
        </w:rPr>
        <w:t xml:space="preserve"> the </w:t>
      </w:r>
      <w:r w:rsidR="008D3A62" w:rsidRPr="00AD1682">
        <w:rPr>
          <w:b/>
          <w:i/>
        </w:rPr>
        <w:t xml:space="preserve">synchronization reference source based on </w:t>
      </w:r>
      <w:r w:rsidR="008D3A62">
        <w:rPr>
          <w:b/>
          <w:i/>
        </w:rPr>
        <w:t xml:space="preserve">their RSRP when </w:t>
      </w:r>
      <w:r w:rsidR="008D3A62" w:rsidRPr="00B55069">
        <w:rPr>
          <w:b/>
          <w:i/>
        </w:rPr>
        <w:t>multiple active serving cells as candidate synchronization reference sources</w:t>
      </w:r>
      <w:r w:rsidR="008D3A62" w:rsidRPr="00AD1682">
        <w:rPr>
          <w:b/>
          <w:i/>
        </w:rPr>
        <w:t>.</w:t>
      </w:r>
      <w:r>
        <w:rPr>
          <w:sz w:val="20"/>
          <w:lang w:eastAsia="ko-KR"/>
        </w:rPr>
        <w:fldChar w:fldCharType="end"/>
      </w:r>
    </w:p>
    <w:p w14:paraId="6CF26B17" w14:textId="3D9CCD1C" w:rsidR="00E5283B" w:rsidRDefault="00E5283B" w:rsidP="00AF429C">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_Ref20577978 \h </w:instrText>
      </w:r>
      <w:r>
        <w:rPr>
          <w:sz w:val="20"/>
          <w:lang w:eastAsia="ko-KR"/>
        </w:rPr>
      </w:r>
      <w:r>
        <w:rPr>
          <w:sz w:val="20"/>
          <w:lang w:eastAsia="ko-KR"/>
        </w:rPr>
        <w:fldChar w:fldCharType="separate"/>
      </w:r>
      <w:r w:rsidR="007B3098" w:rsidRPr="00F85E42">
        <w:rPr>
          <w:b/>
          <w:i/>
        </w:rPr>
        <w:t xml:space="preserve">Proposal </w:t>
      </w:r>
      <w:r w:rsidR="007B3098" w:rsidRPr="00F85E42">
        <w:rPr>
          <w:b/>
          <w:i/>
          <w:noProof/>
        </w:rPr>
        <w:t>3</w:t>
      </w:r>
      <w:r w:rsidR="007B3098" w:rsidRPr="00F85E42">
        <w:rPr>
          <w:b/>
          <w:i/>
        </w:rPr>
        <w:t>: S-SSB_RP and S-SSB Ês/Iot condition is 0dB followed legacy LTE V2X.</w:t>
      </w:r>
      <w:r>
        <w:rPr>
          <w:sz w:val="20"/>
          <w:lang w:eastAsia="ko-KR"/>
        </w:rPr>
        <w:fldChar w:fldCharType="end"/>
      </w:r>
    </w:p>
    <w:p w14:paraId="5CD108E9" w14:textId="3EF69F77" w:rsidR="00C166DB" w:rsidRDefault="00C166DB" w:rsidP="00AF429C">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_Ref20669609 \h </w:instrText>
      </w:r>
      <w:r>
        <w:rPr>
          <w:sz w:val="20"/>
          <w:lang w:eastAsia="ko-KR"/>
        </w:rPr>
      </w:r>
      <w:r>
        <w:rPr>
          <w:sz w:val="20"/>
          <w:lang w:eastAsia="ko-KR"/>
        </w:rPr>
        <w:fldChar w:fldCharType="separate"/>
      </w:r>
      <w:r w:rsidR="007B3098" w:rsidRPr="007B3098">
        <w:rPr>
          <w:b/>
          <w:i/>
        </w:rPr>
        <w:t xml:space="preserve">Proposal </w:t>
      </w:r>
      <w:r w:rsidR="007B3098" w:rsidRPr="007B3098">
        <w:rPr>
          <w:b/>
          <w:i/>
          <w:noProof/>
        </w:rPr>
        <w:t>4</w:t>
      </w:r>
      <w:r w:rsidR="007B3098" w:rsidRPr="007B3098">
        <w:rPr>
          <w:b/>
          <w:i/>
        </w:rPr>
        <w:t>: RAN4 should discuss the dropping rule for reselecting the sync. source.</w:t>
      </w:r>
      <w:r>
        <w:rPr>
          <w:sz w:val="20"/>
          <w:lang w:eastAsia="ko-KR"/>
        </w:rPr>
        <w:fldChar w:fldCharType="end"/>
      </w:r>
    </w:p>
    <w:p w14:paraId="56974CD3" w14:textId="1678DFF7" w:rsidR="00E5283B" w:rsidRDefault="00E5283B" w:rsidP="00AF429C">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_Ref16253632 \h </w:instrText>
      </w:r>
      <w:r>
        <w:rPr>
          <w:sz w:val="20"/>
          <w:lang w:eastAsia="ko-KR"/>
        </w:rPr>
      </w:r>
      <w:r>
        <w:rPr>
          <w:sz w:val="20"/>
          <w:lang w:eastAsia="ko-KR"/>
        </w:rPr>
        <w:fldChar w:fldCharType="separate"/>
      </w:r>
      <w:r w:rsidR="008D3A62" w:rsidRPr="00226EF3">
        <w:rPr>
          <w:b/>
          <w:i/>
        </w:rPr>
        <w:t xml:space="preserve">Proposal </w:t>
      </w:r>
      <w:r w:rsidR="008D3A62">
        <w:rPr>
          <w:b/>
          <w:i/>
          <w:noProof/>
        </w:rPr>
        <w:t>5</w:t>
      </w:r>
      <w:r w:rsidR="008D3A62" w:rsidRPr="00226EF3">
        <w:rPr>
          <w:b/>
          <w:i/>
        </w:rPr>
        <w:t>:</w:t>
      </w:r>
      <w:r w:rsidR="008D3A62">
        <w:rPr>
          <w:b/>
          <w:i/>
        </w:rPr>
        <w:t xml:space="preserve"> RAN4 should wait RAN1’s PSBCH design to decide which procedure should be evaluation, PSBCH decoding or PSBCH DMRS detection.</w:t>
      </w:r>
      <w:r>
        <w:rPr>
          <w:sz w:val="20"/>
          <w:lang w:eastAsia="ko-KR"/>
        </w:rPr>
        <w:fldChar w:fldCharType="end"/>
      </w:r>
      <w:bookmarkStart w:id="18" w:name="_GoBack"/>
      <w:bookmarkEnd w:id="18"/>
    </w:p>
    <w:p w14:paraId="3635D432" w14:textId="08EDE915" w:rsidR="00B55069" w:rsidRDefault="00B55069" w:rsidP="00AF429C">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_Ref19721457 \h </w:instrText>
      </w:r>
      <w:r w:rsidR="00AF429C">
        <w:rPr>
          <w:sz w:val="20"/>
          <w:lang w:eastAsia="ko-KR"/>
        </w:rPr>
        <w:instrText xml:space="preserve"> \* MERGEFORMAT </w:instrText>
      </w:r>
      <w:r>
        <w:rPr>
          <w:sz w:val="20"/>
          <w:lang w:eastAsia="ko-KR"/>
        </w:rPr>
      </w:r>
      <w:r>
        <w:rPr>
          <w:sz w:val="20"/>
          <w:lang w:eastAsia="ko-KR"/>
        </w:rPr>
        <w:fldChar w:fldCharType="separate"/>
      </w:r>
      <w:r w:rsidR="008D3A62" w:rsidRPr="00226EF3">
        <w:rPr>
          <w:b/>
          <w:i/>
        </w:rPr>
        <w:t xml:space="preserve">Proposal </w:t>
      </w:r>
      <w:r w:rsidR="008D3A62">
        <w:rPr>
          <w:b/>
          <w:i/>
          <w:noProof/>
        </w:rPr>
        <w:t>6</w:t>
      </w:r>
      <w:r w:rsidR="008D3A62" w:rsidRPr="00226EF3">
        <w:rPr>
          <w:b/>
          <w:i/>
        </w:rPr>
        <w:t>:</w:t>
      </w:r>
      <w:r w:rsidR="008D3A62">
        <w:rPr>
          <w:b/>
          <w:i/>
        </w:rPr>
        <w:t xml:space="preserve"> </w:t>
      </w:r>
      <w:r w:rsidR="008D3A62" w:rsidRPr="00026C4E">
        <w:rPr>
          <w:b/>
          <w:i/>
        </w:rPr>
        <w:t>RAN4 should wait RAN2 to clarify the procedure of initiation/cease of SLSS transmission.</w:t>
      </w:r>
      <w:r>
        <w:rPr>
          <w:sz w:val="20"/>
          <w:lang w:eastAsia="ko-KR"/>
        </w:rPr>
        <w:fldChar w:fldCharType="end"/>
      </w:r>
    </w:p>
    <w:p w14:paraId="549B9B06" w14:textId="2A138A18" w:rsidR="00B55069" w:rsidRDefault="00B55069" w:rsidP="00AF429C">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_Ref19721461 \h </w:instrText>
      </w:r>
      <w:r w:rsidR="00AF429C">
        <w:rPr>
          <w:sz w:val="20"/>
          <w:lang w:eastAsia="ko-KR"/>
        </w:rPr>
        <w:instrText xml:space="preserve"> \* MERGEFORMAT </w:instrText>
      </w:r>
      <w:r>
        <w:rPr>
          <w:sz w:val="20"/>
          <w:lang w:eastAsia="ko-KR"/>
        </w:rPr>
      </w:r>
      <w:r>
        <w:rPr>
          <w:sz w:val="20"/>
          <w:lang w:eastAsia="ko-KR"/>
        </w:rPr>
        <w:fldChar w:fldCharType="separate"/>
      </w:r>
      <w:r w:rsidR="008D3A62" w:rsidRPr="00226EF3">
        <w:rPr>
          <w:b/>
          <w:i/>
        </w:rPr>
        <w:t xml:space="preserve">Proposal </w:t>
      </w:r>
      <w:r w:rsidR="008D3A62">
        <w:rPr>
          <w:b/>
          <w:i/>
          <w:noProof/>
        </w:rPr>
        <w:t>7</w:t>
      </w:r>
      <w:r w:rsidR="008D3A62" w:rsidRPr="00226EF3">
        <w:rPr>
          <w:b/>
          <w:i/>
        </w:rPr>
        <w:t>:</w:t>
      </w:r>
      <w:r w:rsidR="008D3A62">
        <w:rPr>
          <w:b/>
          <w:i/>
        </w:rPr>
        <w:t xml:space="preserve"> The measurement time could re-use NR intra-frequency measurement with/without gaps time when gNB is used as </w:t>
      </w:r>
      <w:r w:rsidR="008D3A62" w:rsidRPr="008215C8">
        <w:rPr>
          <w:b/>
          <w:i/>
        </w:rPr>
        <w:t>synchronization reference source</w:t>
      </w:r>
      <w:r w:rsidR="008D3A62">
        <w:rPr>
          <w:b/>
          <w:i/>
        </w:rPr>
        <w:t>.</w:t>
      </w:r>
      <w:r>
        <w:rPr>
          <w:sz w:val="20"/>
          <w:lang w:eastAsia="ko-KR"/>
        </w:rPr>
        <w:fldChar w:fldCharType="end"/>
      </w:r>
    </w:p>
    <w:p w14:paraId="77C54B45" w14:textId="4AA58ECA" w:rsidR="00B55069" w:rsidRDefault="00B55069" w:rsidP="00AF429C">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_Ref19721464 \h </w:instrText>
      </w:r>
      <w:r w:rsidR="00AF429C">
        <w:rPr>
          <w:sz w:val="20"/>
          <w:lang w:eastAsia="ko-KR"/>
        </w:rPr>
        <w:instrText xml:space="preserve"> \* MERGEFORMAT </w:instrText>
      </w:r>
      <w:r>
        <w:rPr>
          <w:sz w:val="20"/>
          <w:lang w:eastAsia="ko-KR"/>
        </w:rPr>
      </w:r>
      <w:r>
        <w:rPr>
          <w:sz w:val="20"/>
          <w:lang w:eastAsia="ko-KR"/>
        </w:rPr>
        <w:fldChar w:fldCharType="separate"/>
      </w:r>
      <w:r w:rsidR="008D3A62" w:rsidRPr="00226EF3">
        <w:rPr>
          <w:b/>
          <w:i/>
        </w:rPr>
        <w:t xml:space="preserve">Proposal </w:t>
      </w:r>
      <w:r w:rsidR="008D3A62">
        <w:rPr>
          <w:b/>
          <w:i/>
          <w:noProof/>
        </w:rPr>
        <w:t>8</w:t>
      </w:r>
      <w:r w:rsidR="008D3A62" w:rsidRPr="00226EF3">
        <w:rPr>
          <w:b/>
          <w:i/>
        </w:rPr>
        <w:t>:</w:t>
      </w:r>
      <w:r w:rsidR="008D3A62">
        <w:rPr>
          <w:b/>
          <w:i/>
        </w:rPr>
        <w:t xml:space="preserve"> The measurement time could re-use LTE intra-frequency measurement time when eNB is used as </w:t>
      </w:r>
      <w:r w:rsidR="008D3A62" w:rsidRPr="008215C8">
        <w:rPr>
          <w:b/>
          <w:i/>
        </w:rPr>
        <w:t>synchronization reference source</w:t>
      </w:r>
      <w:r w:rsidR="008D3A62">
        <w:rPr>
          <w:b/>
          <w:i/>
        </w:rPr>
        <w:t>.</w:t>
      </w:r>
      <w:r>
        <w:rPr>
          <w:sz w:val="20"/>
          <w:lang w:eastAsia="ko-KR"/>
        </w:rPr>
        <w:fldChar w:fldCharType="end"/>
      </w:r>
    </w:p>
    <w:p w14:paraId="3DE7EB3D" w14:textId="4C63AD94" w:rsidR="00B55069" w:rsidRDefault="00B55069" w:rsidP="00AF429C">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_Ref19721466 \h </w:instrText>
      </w:r>
      <w:r w:rsidR="00AF429C">
        <w:rPr>
          <w:sz w:val="20"/>
          <w:lang w:eastAsia="ko-KR"/>
        </w:rPr>
        <w:instrText xml:space="preserve"> \* MERGEFORMAT </w:instrText>
      </w:r>
      <w:r>
        <w:rPr>
          <w:sz w:val="20"/>
          <w:lang w:eastAsia="ko-KR"/>
        </w:rPr>
      </w:r>
      <w:r>
        <w:rPr>
          <w:sz w:val="20"/>
          <w:lang w:eastAsia="ko-KR"/>
        </w:rPr>
        <w:fldChar w:fldCharType="separate"/>
      </w:r>
      <w:r w:rsidR="007B3098" w:rsidRPr="007B3098">
        <w:rPr>
          <w:b/>
          <w:i/>
        </w:rPr>
        <w:t xml:space="preserve">Proposal </w:t>
      </w:r>
      <w:r w:rsidR="007B3098" w:rsidRPr="007B3098">
        <w:rPr>
          <w:b/>
          <w:i/>
          <w:noProof/>
        </w:rPr>
        <w:t>9</w:t>
      </w:r>
      <w:r w:rsidR="007B3098" w:rsidRPr="007B3098">
        <w:rPr>
          <w:b/>
          <w:i/>
        </w:rPr>
        <w:t xml:space="preserve">: The measurement time could </w:t>
      </w:r>
      <w:r w:rsidR="007B3098" w:rsidRPr="007B3098">
        <w:rPr>
          <w:rFonts w:hint="eastAsia"/>
          <w:b/>
          <w:i/>
        </w:rPr>
        <w:t>follow</w:t>
      </w:r>
      <w:r w:rsidR="007B3098" w:rsidRPr="007B3098">
        <w:rPr>
          <w:b/>
          <w:i/>
        </w:rPr>
        <w:t xml:space="preserve"> the discussion on gNB/eNB as SyncRef source when GNSS is used as synchronization reference source.</w:t>
      </w:r>
      <w:r>
        <w:rPr>
          <w:sz w:val="20"/>
          <w:lang w:eastAsia="ko-KR"/>
        </w:rPr>
        <w:fldChar w:fldCharType="end"/>
      </w:r>
    </w:p>
    <w:p w14:paraId="3AD98558" w14:textId="2706EA92" w:rsidR="00B55069" w:rsidRDefault="00B55069" w:rsidP="00AF429C">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_Ref19721469 \h </w:instrText>
      </w:r>
      <w:r w:rsidR="00AF429C">
        <w:rPr>
          <w:sz w:val="20"/>
          <w:lang w:eastAsia="ko-KR"/>
        </w:rPr>
        <w:instrText xml:space="preserve"> \* MERGEFORMAT </w:instrText>
      </w:r>
      <w:r>
        <w:rPr>
          <w:sz w:val="20"/>
          <w:lang w:eastAsia="ko-KR"/>
        </w:rPr>
      </w:r>
      <w:r>
        <w:rPr>
          <w:sz w:val="20"/>
          <w:lang w:eastAsia="ko-KR"/>
        </w:rPr>
        <w:fldChar w:fldCharType="separate"/>
      </w:r>
      <w:r w:rsidR="008D3A62" w:rsidRPr="00226EF3">
        <w:rPr>
          <w:b/>
          <w:i/>
        </w:rPr>
        <w:t xml:space="preserve">Proposal </w:t>
      </w:r>
      <w:r w:rsidR="008D3A62">
        <w:rPr>
          <w:b/>
          <w:i/>
          <w:noProof/>
        </w:rPr>
        <w:t>10</w:t>
      </w:r>
      <w:r w:rsidR="008D3A62" w:rsidRPr="00226EF3">
        <w:rPr>
          <w:b/>
          <w:i/>
        </w:rPr>
        <w:t>:</w:t>
      </w:r>
      <w:r w:rsidR="008D3A62">
        <w:rPr>
          <w:b/>
          <w:i/>
        </w:rPr>
        <w:t xml:space="preserve"> Re-use legacy LTE V2X S-RSRP side condition in NR V2X S-RSRP measurement simulation.</w:t>
      </w:r>
      <w:r>
        <w:rPr>
          <w:sz w:val="20"/>
          <w:lang w:eastAsia="ko-KR"/>
        </w:rPr>
        <w:fldChar w:fldCharType="end"/>
      </w:r>
    </w:p>
    <w:p w14:paraId="0214136C" w14:textId="4F61BAC8" w:rsidR="00B55069" w:rsidRDefault="00B55069" w:rsidP="00AF429C">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_Ref19721472 \h </w:instrText>
      </w:r>
      <w:r w:rsidR="00AF429C">
        <w:rPr>
          <w:sz w:val="20"/>
          <w:lang w:eastAsia="ko-KR"/>
        </w:rPr>
        <w:instrText xml:space="preserve"> \* MERGEFORMAT </w:instrText>
      </w:r>
      <w:r>
        <w:rPr>
          <w:sz w:val="20"/>
          <w:lang w:eastAsia="ko-KR"/>
        </w:rPr>
      </w:r>
      <w:r>
        <w:rPr>
          <w:sz w:val="20"/>
          <w:lang w:eastAsia="ko-KR"/>
        </w:rPr>
        <w:fldChar w:fldCharType="separate"/>
      </w:r>
      <w:r w:rsidR="008D3A62" w:rsidRPr="00B55069">
        <w:rPr>
          <w:b/>
          <w:i/>
        </w:rPr>
        <w:t xml:space="preserve">Proposal </w:t>
      </w:r>
      <w:r w:rsidR="008D3A62">
        <w:rPr>
          <w:b/>
          <w:i/>
          <w:noProof/>
        </w:rPr>
        <w:t>11</w:t>
      </w:r>
      <w:r w:rsidR="008D3A62" w:rsidRPr="00B55069">
        <w:rPr>
          <w:b/>
          <w:i/>
        </w:rPr>
        <w:t xml:space="preserve">: </w:t>
      </w:r>
      <w:r w:rsidR="008D3A62" w:rsidRPr="00B55069">
        <w:rPr>
          <w:rFonts w:eastAsia="Microsoft JhengHei" w:cstheme="minorHAnsi"/>
          <w:b/>
          <w:i/>
          <w:color w:val="000000"/>
          <w:lang w:val="en-GB"/>
        </w:rPr>
        <w:t>When SyncRef UE is used as synchronization reference source, evaluation time is [X] times of S-RSRP measurement time.</w:t>
      </w:r>
      <w:r>
        <w:rPr>
          <w:sz w:val="20"/>
          <w:lang w:eastAsia="ko-KR"/>
        </w:rPr>
        <w:fldChar w:fldCharType="end"/>
      </w:r>
    </w:p>
    <w:p w14:paraId="5E8F853B" w14:textId="73475907" w:rsidR="00B55069" w:rsidRDefault="00B55069" w:rsidP="00AF429C">
      <w:pPr>
        <w:overflowPunct w:val="0"/>
        <w:autoSpaceDE w:val="0"/>
        <w:autoSpaceDN w:val="0"/>
        <w:adjustRightInd w:val="0"/>
        <w:jc w:val="both"/>
        <w:textAlignment w:val="baseline"/>
        <w:rPr>
          <w:sz w:val="20"/>
          <w:lang w:eastAsia="ko-KR"/>
        </w:rPr>
      </w:pPr>
      <w:r>
        <w:rPr>
          <w:sz w:val="20"/>
          <w:lang w:eastAsia="ko-KR"/>
        </w:rPr>
        <w:fldChar w:fldCharType="begin"/>
      </w:r>
      <w:r>
        <w:rPr>
          <w:sz w:val="20"/>
          <w:lang w:eastAsia="ko-KR"/>
        </w:rPr>
        <w:instrText xml:space="preserve"> REF _Ref19721475 \h </w:instrText>
      </w:r>
      <w:r w:rsidR="00AF429C">
        <w:rPr>
          <w:sz w:val="20"/>
          <w:lang w:eastAsia="ko-KR"/>
        </w:rPr>
        <w:instrText xml:space="preserve"> \* MERGEFORMAT </w:instrText>
      </w:r>
      <w:r>
        <w:rPr>
          <w:sz w:val="20"/>
          <w:lang w:eastAsia="ko-KR"/>
        </w:rPr>
      </w:r>
      <w:r>
        <w:rPr>
          <w:sz w:val="20"/>
          <w:lang w:eastAsia="ko-KR"/>
        </w:rPr>
        <w:fldChar w:fldCharType="separate"/>
      </w:r>
      <w:r w:rsidR="008D3A62" w:rsidRPr="00B55069">
        <w:rPr>
          <w:b/>
          <w:i/>
        </w:rPr>
        <w:t xml:space="preserve">Proposal </w:t>
      </w:r>
      <w:r w:rsidR="008D3A62">
        <w:rPr>
          <w:b/>
          <w:i/>
          <w:noProof/>
        </w:rPr>
        <w:t>12</w:t>
      </w:r>
      <w:r w:rsidR="008D3A62" w:rsidRPr="00B55069">
        <w:rPr>
          <w:b/>
          <w:i/>
        </w:rPr>
        <w:t xml:space="preserve">: </w:t>
      </w:r>
      <w:r w:rsidR="008D3A62" w:rsidRPr="00B55069">
        <w:rPr>
          <w:rFonts w:eastAsia="Microsoft JhengHei" w:cstheme="minorHAnsi"/>
          <w:b/>
          <w:i/>
          <w:color w:val="000000"/>
          <w:lang w:val="en-GB"/>
        </w:rPr>
        <w:t>When LTE serving cell is used as synchronization reference source, evaluation time is [X] times of LTE intra-frequency measurement time.</w:t>
      </w:r>
      <w:r>
        <w:rPr>
          <w:sz w:val="20"/>
          <w:lang w:eastAsia="ko-KR"/>
        </w:rPr>
        <w:fldChar w:fldCharType="end"/>
      </w:r>
    </w:p>
    <w:p w14:paraId="69A61B30" w14:textId="246DFC4C" w:rsidR="00ED6BD4" w:rsidRDefault="00ED6BD4" w:rsidP="00ED6BD4">
      <w:pPr>
        <w:pStyle w:val="1"/>
        <w:numPr>
          <w:ilvl w:val="0"/>
          <w:numId w:val="1"/>
        </w:numPr>
        <w:rPr>
          <w:rFonts w:ascii="Calibri" w:hAnsi="Calibri"/>
        </w:rPr>
      </w:pPr>
      <w:r w:rsidRPr="00ED6BD4">
        <w:rPr>
          <w:rFonts w:ascii="Calibri" w:hAnsi="Calibri"/>
        </w:rPr>
        <w:t>Reference</w:t>
      </w:r>
    </w:p>
    <w:p w14:paraId="74B5330A" w14:textId="0C4B51EF" w:rsidR="00ED6BD4" w:rsidRPr="00ED6BD4" w:rsidRDefault="00ED6BD4" w:rsidP="00ED6BD4">
      <w:pPr>
        <w:pStyle w:val="af3"/>
        <w:numPr>
          <w:ilvl w:val="0"/>
          <w:numId w:val="12"/>
        </w:numPr>
        <w:rPr>
          <w:lang w:val="en-GB"/>
        </w:rPr>
      </w:pPr>
      <w:r w:rsidRPr="00ED6BD4">
        <w:rPr>
          <w:lang w:val="en-GB"/>
        </w:rPr>
        <w:t>R1-1909910</w:t>
      </w:r>
      <w:r>
        <w:rPr>
          <w:lang w:val="en-GB"/>
        </w:rPr>
        <w:t xml:space="preserve">, </w:t>
      </w:r>
      <w:r w:rsidRPr="00ED6BD4">
        <w:rPr>
          <w:rFonts w:hint="eastAsia"/>
          <w:lang w:val="en-GB"/>
        </w:rPr>
        <w:t>LS on NR V2X synchronization procedures and priority</w:t>
      </w:r>
    </w:p>
    <w:sectPr w:rsidR="00ED6BD4" w:rsidRPr="00ED6BD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19868" w14:textId="77777777" w:rsidR="001A40F0" w:rsidRDefault="001A40F0">
      <w:r>
        <w:separator/>
      </w:r>
    </w:p>
  </w:endnote>
  <w:endnote w:type="continuationSeparator" w:id="0">
    <w:p w14:paraId="1514813C" w14:textId="77777777" w:rsidR="001A40F0" w:rsidRDefault="001A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2F0DC" w14:textId="77777777" w:rsidR="001A40F0" w:rsidRDefault="001A40F0">
      <w:r>
        <w:separator/>
      </w:r>
    </w:p>
  </w:footnote>
  <w:footnote w:type="continuationSeparator" w:id="0">
    <w:p w14:paraId="4C832B73" w14:textId="77777777" w:rsidR="001A40F0" w:rsidRDefault="001A40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871502"/>
    <w:multiLevelType w:val="hybridMultilevel"/>
    <w:tmpl w:val="B5004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994BE1"/>
    <w:multiLevelType w:val="hybridMultilevel"/>
    <w:tmpl w:val="79009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D90D93"/>
    <w:multiLevelType w:val="hybridMultilevel"/>
    <w:tmpl w:val="C93EE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5FD836E8"/>
    <w:multiLevelType w:val="hybridMultilevel"/>
    <w:tmpl w:val="39F284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4FA1E4E"/>
    <w:multiLevelType w:val="hybridMultilevel"/>
    <w:tmpl w:val="8556C11A"/>
    <w:lvl w:ilvl="0" w:tplc="97201AA8">
      <w:start w:val="1"/>
      <w:numFmt w:val="bullet"/>
      <w:lvlText w:val="•"/>
      <w:lvlJc w:val="left"/>
      <w:pPr>
        <w:tabs>
          <w:tab w:val="num" w:pos="360"/>
        </w:tabs>
        <w:ind w:left="360" w:hanging="360"/>
      </w:pPr>
      <w:rPr>
        <w:rFonts w:ascii="Arial" w:hAnsi="Arial" w:hint="default"/>
      </w:rPr>
    </w:lvl>
    <w:lvl w:ilvl="1" w:tplc="F74CAB5A">
      <w:numFmt w:val="bullet"/>
      <w:lvlText w:val="-"/>
      <w:lvlJc w:val="left"/>
      <w:pPr>
        <w:tabs>
          <w:tab w:val="num" w:pos="1080"/>
        </w:tabs>
        <w:ind w:left="1080" w:hanging="360"/>
      </w:pPr>
      <w:rPr>
        <w:rFonts w:ascii="Times New Roman" w:hAnsi="Times New Roman" w:hint="default"/>
      </w:rPr>
    </w:lvl>
    <w:lvl w:ilvl="2" w:tplc="0C325DDA">
      <w:numFmt w:val="bullet"/>
      <w:lvlText w:val="-"/>
      <w:lvlJc w:val="left"/>
      <w:pPr>
        <w:tabs>
          <w:tab w:val="num" w:pos="1800"/>
        </w:tabs>
        <w:ind w:left="1800" w:hanging="360"/>
      </w:pPr>
      <w:rPr>
        <w:rFonts w:ascii="Times New Roman" w:hAnsi="Times New Roman" w:hint="default"/>
      </w:rPr>
    </w:lvl>
    <w:lvl w:ilvl="3" w:tplc="D4AE9444" w:tentative="1">
      <w:start w:val="1"/>
      <w:numFmt w:val="bullet"/>
      <w:lvlText w:val="•"/>
      <w:lvlJc w:val="left"/>
      <w:pPr>
        <w:tabs>
          <w:tab w:val="num" w:pos="2520"/>
        </w:tabs>
        <w:ind w:left="2520" w:hanging="360"/>
      </w:pPr>
      <w:rPr>
        <w:rFonts w:ascii="Arial" w:hAnsi="Arial" w:hint="default"/>
      </w:rPr>
    </w:lvl>
    <w:lvl w:ilvl="4" w:tplc="63BC9074" w:tentative="1">
      <w:start w:val="1"/>
      <w:numFmt w:val="bullet"/>
      <w:lvlText w:val="•"/>
      <w:lvlJc w:val="left"/>
      <w:pPr>
        <w:tabs>
          <w:tab w:val="num" w:pos="3240"/>
        </w:tabs>
        <w:ind w:left="3240" w:hanging="360"/>
      </w:pPr>
      <w:rPr>
        <w:rFonts w:ascii="Arial" w:hAnsi="Arial" w:hint="default"/>
      </w:rPr>
    </w:lvl>
    <w:lvl w:ilvl="5" w:tplc="3886BD14" w:tentative="1">
      <w:start w:val="1"/>
      <w:numFmt w:val="bullet"/>
      <w:lvlText w:val="•"/>
      <w:lvlJc w:val="left"/>
      <w:pPr>
        <w:tabs>
          <w:tab w:val="num" w:pos="3960"/>
        </w:tabs>
        <w:ind w:left="3960" w:hanging="360"/>
      </w:pPr>
      <w:rPr>
        <w:rFonts w:ascii="Arial" w:hAnsi="Arial" w:hint="default"/>
      </w:rPr>
    </w:lvl>
    <w:lvl w:ilvl="6" w:tplc="4D1804F2" w:tentative="1">
      <w:start w:val="1"/>
      <w:numFmt w:val="bullet"/>
      <w:lvlText w:val="•"/>
      <w:lvlJc w:val="left"/>
      <w:pPr>
        <w:tabs>
          <w:tab w:val="num" w:pos="4680"/>
        </w:tabs>
        <w:ind w:left="4680" w:hanging="360"/>
      </w:pPr>
      <w:rPr>
        <w:rFonts w:ascii="Arial" w:hAnsi="Arial" w:hint="default"/>
      </w:rPr>
    </w:lvl>
    <w:lvl w:ilvl="7" w:tplc="FDD43FC6" w:tentative="1">
      <w:start w:val="1"/>
      <w:numFmt w:val="bullet"/>
      <w:lvlText w:val="•"/>
      <w:lvlJc w:val="left"/>
      <w:pPr>
        <w:tabs>
          <w:tab w:val="num" w:pos="5400"/>
        </w:tabs>
        <w:ind w:left="5400" w:hanging="360"/>
      </w:pPr>
      <w:rPr>
        <w:rFonts w:ascii="Arial" w:hAnsi="Arial" w:hint="default"/>
      </w:rPr>
    </w:lvl>
    <w:lvl w:ilvl="8" w:tplc="E2AC8C4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2"/>
  </w:num>
  <w:num w:numId="2">
    <w:abstractNumId w:val="5"/>
  </w:num>
  <w:num w:numId="3">
    <w:abstractNumId w:val="1"/>
  </w:num>
  <w:num w:numId="4">
    <w:abstractNumId w:val="0"/>
  </w:num>
  <w:num w:numId="5">
    <w:abstractNumId w:val="3"/>
  </w:num>
  <w:num w:numId="6">
    <w:abstractNumId w:val="9"/>
  </w:num>
  <w:num w:numId="7">
    <w:abstractNumId w:val="7"/>
  </w:num>
  <w:num w:numId="8">
    <w:abstractNumId w:val="2"/>
  </w:num>
  <w:num w:numId="9">
    <w:abstractNumId w:val="4"/>
  </w:num>
  <w:num w:numId="10">
    <w:abstractNumId w:val="11"/>
  </w:num>
  <w:num w:numId="11">
    <w:abstractNumId w:val="8"/>
  </w:num>
  <w:num w:numId="12">
    <w:abstractNumId w:val="6"/>
  </w:num>
  <w:num w:numId="1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03"/>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E6C"/>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6C4E"/>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51A"/>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7C1"/>
    <w:rsid w:val="00070917"/>
    <w:rsid w:val="00070BE8"/>
    <w:rsid w:val="00070C66"/>
    <w:rsid w:val="00071020"/>
    <w:rsid w:val="00071072"/>
    <w:rsid w:val="000712C4"/>
    <w:rsid w:val="00071300"/>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9FE"/>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A2"/>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CE0"/>
    <w:rsid w:val="000F6E42"/>
    <w:rsid w:val="000F787E"/>
    <w:rsid w:val="000F7B27"/>
    <w:rsid w:val="000F7BA3"/>
    <w:rsid w:val="00100AE8"/>
    <w:rsid w:val="0010118D"/>
    <w:rsid w:val="0010129E"/>
    <w:rsid w:val="001012B9"/>
    <w:rsid w:val="001013EB"/>
    <w:rsid w:val="00101475"/>
    <w:rsid w:val="001014C7"/>
    <w:rsid w:val="00101AAD"/>
    <w:rsid w:val="00101CAE"/>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66BA"/>
    <w:rsid w:val="00126E6E"/>
    <w:rsid w:val="001272D7"/>
    <w:rsid w:val="001273A9"/>
    <w:rsid w:val="00127D01"/>
    <w:rsid w:val="00130026"/>
    <w:rsid w:val="001300E3"/>
    <w:rsid w:val="001305EF"/>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1AD3"/>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0F0"/>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6C6D"/>
    <w:rsid w:val="001B7093"/>
    <w:rsid w:val="001B7F8C"/>
    <w:rsid w:val="001C016A"/>
    <w:rsid w:val="001C0683"/>
    <w:rsid w:val="001C0784"/>
    <w:rsid w:val="001C125B"/>
    <w:rsid w:val="001C14EC"/>
    <w:rsid w:val="001C15DA"/>
    <w:rsid w:val="001C2489"/>
    <w:rsid w:val="001C24BB"/>
    <w:rsid w:val="001C2686"/>
    <w:rsid w:val="001C3D89"/>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15A"/>
    <w:rsid w:val="001D0853"/>
    <w:rsid w:val="001D1A64"/>
    <w:rsid w:val="001D202B"/>
    <w:rsid w:val="001D23C2"/>
    <w:rsid w:val="001D241B"/>
    <w:rsid w:val="001D2ABA"/>
    <w:rsid w:val="001D2C8A"/>
    <w:rsid w:val="001D3830"/>
    <w:rsid w:val="001D4102"/>
    <w:rsid w:val="001D449B"/>
    <w:rsid w:val="001D4501"/>
    <w:rsid w:val="001D47B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5CCB"/>
    <w:rsid w:val="001F6653"/>
    <w:rsid w:val="001F6DE9"/>
    <w:rsid w:val="001F6EFC"/>
    <w:rsid w:val="001F734F"/>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258"/>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074E"/>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32F"/>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8DD"/>
    <w:rsid w:val="00284948"/>
    <w:rsid w:val="00284E71"/>
    <w:rsid w:val="00285156"/>
    <w:rsid w:val="00285510"/>
    <w:rsid w:val="00285713"/>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583"/>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31D"/>
    <w:rsid w:val="002D7417"/>
    <w:rsid w:val="002E03A9"/>
    <w:rsid w:val="002E054C"/>
    <w:rsid w:val="002E0814"/>
    <w:rsid w:val="002E1C71"/>
    <w:rsid w:val="002E1D5A"/>
    <w:rsid w:val="002E1DA5"/>
    <w:rsid w:val="002E2E08"/>
    <w:rsid w:val="002E52EE"/>
    <w:rsid w:val="002E5550"/>
    <w:rsid w:val="002E58D2"/>
    <w:rsid w:val="002E6293"/>
    <w:rsid w:val="002E62EA"/>
    <w:rsid w:val="002E6509"/>
    <w:rsid w:val="002E6DDF"/>
    <w:rsid w:val="002E71DF"/>
    <w:rsid w:val="002E73A6"/>
    <w:rsid w:val="002E745A"/>
    <w:rsid w:val="002E7B3B"/>
    <w:rsid w:val="002E7C39"/>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6F33"/>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14"/>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1F2"/>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DE3"/>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6BC8"/>
    <w:rsid w:val="00366F1D"/>
    <w:rsid w:val="0036717B"/>
    <w:rsid w:val="00367473"/>
    <w:rsid w:val="00370081"/>
    <w:rsid w:val="00371255"/>
    <w:rsid w:val="003716F5"/>
    <w:rsid w:val="0037170D"/>
    <w:rsid w:val="0037189D"/>
    <w:rsid w:val="00371C3B"/>
    <w:rsid w:val="00371D84"/>
    <w:rsid w:val="00372595"/>
    <w:rsid w:val="00372613"/>
    <w:rsid w:val="00372779"/>
    <w:rsid w:val="00372D07"/>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A6D"/>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0F1"/>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2F6D"/>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07EEA"/>
    <w:rsid w:val="0041011D"/>
    <w:rsid w:val="0041147C"/>
    <w:rsid w:val="00411630"/>
    <w:rsid w:val="00411677"/>
    <w:rsid w:val="0041206D"/>
    <w:rsid w:val="00412505"/>
    <w:rsid w:val="004128BE"/>
    <w:rsid w:val="00412CFA"/>
    <w:rsid w:val="00413B98"/>
    <w:rsid w:val="00413D12"/>
    <w:rsid w:val="00414382"/>
    <w:rsid w:val="00414D64"/>
    <w:rsid w:val="00414DF1"/>
    <w:rsid w:val="004150F5"/>
    <w:rsid w:val="00415377"/>
    <w:rsid w:val="004153A3"/>
    <w:rsid w:val="004163D1"/>
    <w:rsid w:val="0041654A"/>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469"/>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58B"/>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6D1A"/>
    <w:rsid w:val="00487291"/>
    <w:rsid w:val="00487495"/>
    <w:rsid w:val="00487E07"/>
    <w:rsid w:val="00490B88"/>
    <w:rsid w:val="00490BE2"/>
    <w:rsid w:val="00490E1B"/>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5DA5"/>
    <w:rsid w:val="004C600F"/>
    <w:rsid w:val="004C61B9"/>
    <w:rsid w:val="004C6867"/>
    <w:rsid w:val="004C737B"/>
    <w:rsid w:val="004C7423"/>
    <w:rsid w:val="004C795A"/>
    <w:rsid w:val="004C7AB4"/>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C7D"/>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1D1"/>
    <w:rsid w:val="004F1321"/>
    <w:rsid w:val="004F1A95"/>
    <w:rsid w:val="004F2ADF"/>
    <w:rsid w:val="004F3489"/>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3B1"/>
    <w:rsid w:val="00521BFC"/>
    <w:rsid w:val="00522281"/>
    <w:rsid w:val="00522956"/>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11E"/>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0E48"/>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1DE8"/>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2D4"/>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B24"/>
    <w:rsid w:val="005B2177"/>
    <w:rsid w:val="005B21B7"/>
    <w:rsid w:val="005B22E6"/>
    <w:rsid w:val="005B2503"/>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8E"/>
    <w:rsid w:val="005C2EA3"/>
    <w:rsid w:val="005C369E"/>
    <w:rsid w:val="005C3760"/>
    <w:rsid w:val="005C3969"/>
    <w:rsid w:val="005C4450"/>
    <w:rsid w:val="005C502F"/>
    <w:rsid w:val="005C54FF"/>
    <w:rsid w:val="005C59E6"/>
    <w:rsid w:val="005C5A64"/>
    <w:rsid w:val="005C5ED7"/>
    <w:rsid w:val="005C5F96"/>
    <w:rsid w:val="005C680A"/>
    <w:rsid w:val="005C6A95"/>
    <w:rsid w:val="005C6E40"/>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3D8"/>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F2F"/>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152"/>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B09"/>
    <w:rsid w:val="00644C01"/>
    <w:rsid w:val="00645AAA"/>
    <w:rsid w:val="00645BCA"/>
    <w:rsid w:val="00645FB8"/>
    <w:rsid w:val="00646C13"/>
    <w:rsid w:val="00646C41"/>
    <w:rsid w:val="00647276"/>
    <w:rsid w:val="00647AB0"/>
    <w:rsid w:val="0065002A"/>
    <w:rsid w:val="00650B1E"/>
    <w:rsid w:val="00650C35"/>
    <w:rsid w:val="00651CC7"/>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41"/>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884"/>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4C2"/>
    <w:rsid w:val="006A054A"/>
    <w:rsid w:val="006A0665"/>
    <w:rsid w:val="006A0AA7"/>
    <w:rsid w:val="006A0C90"/>
    <w:rsid w:val="006A0DB6"/>
    <w:rsid w:val="006A11FB"/>
    <w:rsid w:val="006A1828"/>
    <w:rsid w:val="006A1EEA"/>
    <w:rsid w:val="006A2545"/>
    <w:rsid w:val="006A2588"/>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54DE"/>
    <w:rsid w:val="006C5593"/>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06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81E"/>
    <w:rsid w:val="006F5F5A"/>
    <w:rsid w:val="006F61C2"/>
    <w:rsid w:val="006F6552"/>
    <w:rsid w:val="006F679B"/>
    <w:rsid w:val="006F6DE5"/>
    <w:rsid w:val="006F7557"/>
    <w:rsid w:val="006F7774"/>
    <w:rsid w:val="006F7BFE"/>
    <w:rsid w:val="00700083"/>
    <w:rsid w:val="00700806"/>
    <w:rsid w:val="0070171C"/>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1F22"/>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7DC"/>
    <w:rsid w:val="00795F06"/>
    <w:rsid w:val="00796FB4"/>
    <w:rsid w:val="00797B5D"/>
    <w:rsid w:val="00797F10"/>
    <w:rsid w:val="00797FC7"/>
    <w:rsid w:val="007A037B"/>
    <w:rsid w:val="007A049F"/>
    <w:rsid w:val="007A095B"/>
    <w:rsid w:val="007A0A67"/>
    <w:rsid w:val="007A27C8"/>
    <w:rsid w:val="007A28C3"/>
    <w:rsid w:val="007A2C06"/>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098"/>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7CB"/>
    <w:rsid w:val="007C5B54"/>
    <w:rsid w:val="007C5F0A"/>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09B"/>
    <w:rsid w:val="007E6991"/>
    <w:rsid w:val="007E6C6F"/>
    <w:rsid w:val="007E7692"/>
    <w:rsid w:val="007F0715"/>
    <w:rsid w:val="007F08BC"/>
    <w:rsid w:val="007F0B07"/>
    <w:rsid w:val="007F1727"/>
    <w:rsid w:val="007F1937"/>
    <w:rsid w:val="007F1AA9"/>
    <w:rsid w:val="007F1C35"/>
    <w:rsid w:val="007F20E9"/>
    <w:rsid w:val="007F216D"/>
    <w:rsid w:val="007F23B9"/>
    <w:rsid w:val="007F2EE9"/>
    <w:rsid w:val="007F331E"/>
    <w:rsid w:val="007F4237"/>
    <w:rsid w:val="007F42A8"/>
    <w:rsid w:val="007F44D2"/>
    <w:rsid w:val="007F466B"/>
    <w:rsid w:val="007F4E8A"/>
    <w:rsid w:val="007F52BB"/>
    <w:rsid w:val="007F617E"/>
    <w:rsid w:val="007F62FD"/>
    <w:rsid w:val="007F6BC4"/>
    <w:rsid w:val="007F7441"/>
    <w:rsid w:val="007F77A2"/>
    <w:rsid w:val="007F7852"/>
    <w:rsid w:val="007F7B07"/>
    <w:rsid w:val="0080011C"/>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5C8"/>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908"/>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64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41B"/>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EC6"/>
    <w:rsid w:val="00883F87"/>
    <w:rsid w:val="00883FB0"/>
    <w:rsid w:val="0088427B"/>
    <w:rsid w:val="00884A01"/>
    <w:rsid w:val="00884B2B"/>
    <w:rsid w:val="00885017"/>
    <w:rsid w:val="0088525C"/>
    <w:rsid w:val="0088613E"/>
    <w:rsid w:val="00886210"/>
    <w:rsid w:val="008866D7"/>
    <w:rsid w:val="008868BC"/>
    <w:rsid w:val="008869C6"/>
    <w:rsid w:val="008879A3"/>
    <w:rsid w:val="00887CEC"/>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215"/>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B042F"/>
    <w:rsid w:val="008B06B4"/>
    <w:rsid w:val="008B0A66"/>
    <w:rsid w:val="008B0F94"/>
    <w:rsid w:val="008B2555"/>
    <w:rsid w:val="008B26FB"/>
    <w:rsid w:val="008B2933"/>
    <w:rsid w:val="008B2A08"/>
    <w:rsid w:val="008B2E89"/>
    <w:rsid w:val="008B3A0A"/>
    <w:rsid w:val="008B45E7"/>
    <w:rsid w:val="008B471E"/>
    <w:rsid w:val="008B5290"/>
    <w:rsid w:val="008B55FA"/>
    <w:rsid w:val="008B60A7"/>
    <w:rsid w:val="008B6D94"/>
    <w:rsid w:val="008B6FEB"/>
    <w:rsid w:val="008B77B0"/>
    <w:rsid w:val="008C0412"/>
    <w:rsid w:val="008C09EB"/>
    <w:rsid w:val="008C15E1"/>
    <w:rsid w:val="008C178D"/>
    <w:rsid w:val="008C1912"/>
    <w:rsid w:val="008C2186"/>
    <w:rsid w:val="008C22E1"/>
    <w:rsid w:val="008C24DA"/>
    <w:rsid w:val="008C2CF1"/>
    <w:rsid w:val="008C40F0"/>
    <w:rsid w:val="008C410A"/>
    <w:rsid w:val="008C5112"/>
    <w:rsid w:val="008C5978"/>
    <w:rsid w:val="008C5F5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A62"/>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52F"/>
    <w:rsid w:val="008E0F52"/>
    <w:rsid w:val="008E135B"/>
    <w:rsid w:val="008E14D7"/>
    <w:rsid w:val="008E20F9"/>
    <w:rsid w:val="008E22E8"/>
    <w:rsid w:val="008E2343"/>
    <w:rsid w:val="008E2A18"/>
    <w:rsid w:val="008E2DB4"/>
    <w:rsid w:val="008E3065"/>
    <w:rsid w:val="008E323B"/>
    <w:rsid w:val="008E39A3"/>
    <w:rsid w:val="008E4790"/>
    <w:rsid w:val="008E48C8"/>
    <w:rsid w:val="008E4CBD"/>
    <w:rsid w:val="008E4F3E"/>
    <w:rsid w:val="008E50FB"/>
    <w:rsid w:val="008E5395"/>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BE0"/>
    <w:rsid w:val="00914C32"/>
    <w:rsid w:val="00914F81"/>
    <w:rsid w:val="0091519C"/>
    <w:rsid w:val="009152E9"/>
    <w:rsid w:val="00915B81"/>
    <w:rsid w:val="00915E48"/>
    <w:rsid w:val="00916157"/>
    <w:rsid w:val="00916F3C"/>
    <w:rsid w:val="0091704E"/>
    <w:rsid w:val="009175A3"/>
    <w:rsid w:val="009178AE"/>
    <w:rsid w:val="00917C15"/>
    <w:rsid w:val="00920223"/>
    <w:rsid w:val="009206A4"/>
    <w:rsid w:val="009211DD"/>
    <w:rsid w:val="00921A9F"/>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B47"/>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8C5"/>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59A"/>
    <w:rsid w:val="00975DB9"/>
    <w:rsid w:val="00976034"/>
    <w:rsid w:val="009766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3A6"/>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140"/>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233"/>
    <w:rsid w:val="009C357D"/>
    <w:rsid w:val="009C360D"/>
    <w:rsid w:val="009C38DD"/>
    <w:rsid w:val="009C3AD7"/>
    <w:rsid w:val="009C3D52"/>
    <w:rsid w:val="009C46E7"/>
    <w:rsid w:val="009C4EB2"/>
    <w:rsid w:val="009C51D5"/>
    <w:rsid w:val="009C56FA"/>
    <w:rsid w:val="009C57B6"/>
    <w:rsid w:val="009C58A5"/>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F75"/>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27E4"/>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2CD3"/>
    <w:rsid w:val="00A22DFE"/>
    <w:rsid w:val="00A23174"/>
    <w:rsid w:val="00A23A7D"/>
    <w:rsid w:val="00A24051"/>
    <w:rsid w:val="00A24102"/>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5C4"/>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B8D"/>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883"/>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1F16"/>
    <w:rsid w:val="00A92FB2"/>
    <w:rsid w:val="00A938E6"/>
    <w:rsid w:val="00A93B69"/>
    <w:rsid w:val="00A93FE5"/>
    <w:rsid w:val="00A940D0"/>
    <w:rsid w:val="00A943B4"/>
    <w:rsid w:val="00A94D20"/>
    <w:rsid w:val="00A9520A"/>
    <w:rsid w:val="00A9526E"/>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0E54"/>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594"/>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682"/>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29C"/>
    <w:rsid w:val="00AF43A8"/>
    <w:rsid w:val="00AF52EB"/>
    <w:rsid w:val="00AF5C0F"/>
    <w:rsid w:val="00AF7CF9"/>
    <w:rsid w:val="00AF7EBA"/>
    <w:rsid w:val="00B0019B"/>
    <w:rsid w:val="00B007B6"/>
    <w:rsid w:val="00B00DF2"/>
    <w:rsid w:val="00B013AE"/>
    <w:rsid w:val="00B016E1"/>
    <w:rsid w:val="00B01737"/>
    <w:rsid w:val="00B0186B"/>
    <w:rsid w:val="00B0191E"/>
    <w:rsid w:val="00B03208"/>
    <w:rsid w:val="00B034D1"/>
    <w:rsid w:val="00B03553"/>
    <w:rsid w:val="00B03592"/>
    <w:rsid w:val="00B036A3"/>
    <w:rsid w:val="00B0389D"/>
    <w:rsid w:val="00B04287"/>
    <w:rsid w:val="00B0450B"/>
    <w:rsid w:val="00B04AB1"/>
    <w:rsid w:val="00B04E18"/>
    <w:rsid w:val="00B05903"/>
    <w:rsid w:val="00B05FA4"/>
    <w:rsid w:val="00B061DB"/>
    <w:rsid w:val="00B06A17"/>
    <w:rsid w:val="00B06ED6"/>
    <w:rsid w:val="00B0750B"/>
    <w:rsid w:val="00B07828"/>
    <w:rsid w:val="00B0786A"/>
    <w:rsid w:val="00B0796E"/>
    <w:rsid w:val="00B07D0E"/>
    <w:rsid w:val="00B07E53"/>
    <w:rsid w:val="00B10BCE"/>
    <w:rsid w:val="00B10F8B"/>
    <w:rsid w:val="00B12DF5"/>
    <w:rsid w:val="00B12F00"/>
    <w:rsid w:val="00B13C7F"/>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093"/>
    <w:rsid w:val="00B3523D"/>
    <w:rsid w:val="00B3552D"/>
    <w:rsid w:val="00B359CC"/>
    <w:rsid w:val="00B3604D"/>
    <w:rsid w:val="00B3670A"/>
    <w:rsid w:val="00B370E3"/>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B7E"/>
    <w:rsid w:val="00B46744"/>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1B2"/>
    <w:rsid w:val="00B545B4"/>
    <w:rsid w:val="00B54848"/>
    <w:rsid w:val="00B549CB"/>
    <w:rsid w:val="00B55069"/>
    <w:rsid w:val="00B554AC"/>
    <w:rsid w:val="00B55D39"/>
    <w:rsid w:val="00B56D14"/>
    <w:rsid w:val="00B572BE"/>
    <w:rsid w:val="00B577F3"/>
    <w:rsid w:val="00B57E0A"/>
    <w:rsid w:val="00B600E3"/>
    <w:rsid w:val="00B60555"/>
    <w:rsid w:val="00B607A1"/>
    <w:rsid w:val="00B6093A"/>
    <w:rsid w:val="00B60C33"/>
    <w:rsid w:val="00B6106B"/>
    <w:rsid w:val="00B612B8"/>
    <w:rsid w:val="00B62D08"/>
    <w:rsid w:val="00B63337"/>
    <w:rsid w:val="00B6374D"/>
    <w:rsid w:val="00B63BEB"/>
    <w:rsid w:val="00B63F20"/>
    <w:rsid w:val="00B641E3"/>
    <w:rsid w:val="00B64619"/>
    <w:rsid w:val="00B64AE9"/>
    <w:rsid w:val="00B64CD4"/>
    <w:rsid w:val="00B64E9E"/>
    <w:rsid w:val="00B65687"/>
    <w:rsid w:val="00B6572A"/>
    <w:rsid w:val="00B657C7"/>
    <w:rsid w:val="00B66066"/>
    <w:rsid w:val="00B66384"/>
    <w:rsid w:val="00B6669E"/>
    <w:rsid w:val="00B678D0"/>
    <w:rsid w:val="00B67F29"/>
    <w:rsid w:val="00B70161"/>
    <w:rsid w:val="00B706F0"/>
    <w:rsid w:val="00B707C0"/>
    <w:rsid w:val="00B70CA2"/>
    <w:rsid w:val="00B71040"/>
    <w:rsid w:val="00B71077"/>
    <w:rsid w:val="00B7162F"/>
    <w:rsid w:val="00B718D8"/>
    <w:rsid w:val="00B7244D"/>
    <w:rsid w:val="00B7267A"/>
    <w:rsid w:val="00B72F96"/>
    <w:rsid w:val="00B73176"/>
    <w:rsid w:val="00B73286"/>
    <w:rsid w:val="00B735B8"/>
    <w:rsid w:val="00B73AA5"/>
    <w:rsid w:val="00B73B8A"/>
    <w:rsid w:val="00B7468F"/>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1D77"/>
    <w:rsid w:val="00BA2066"/>
    <w:rsid w:val="00BA2794"/>
    <w:rsid w:val="00BA3C35"/>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0E"/>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1A4F"/>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6DB"/>
    <w:rsid w:val="00C1697B"/>
    <w:rsid w:val="00C16F8E"/>
    <w:rsid w:val="00C1769B"/>
    <w:rsid w:val="00C17D39"/>
    <w:rsid w:val="00C17E08"/>
    <w:rsid w:val="00C17FCC"/>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354"/>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2F4C"/>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1C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4939"/>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3D4"/>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8AF"/>
    <w:rsid w:val="00CF0A25"/>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691"/>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2759E"/>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959"/>
    <w:rsid w:val="00D56BA7"/>
    <w:rsid w:val="00D56CD1"/>
    <w:rsid w:val="00D573E5"/>
    <w:rsid w:val="00D57814"/>
    <w:rsid w:val="00D603DD"/>
    <w:rsid w:val="00D6048B"/>
    <w:rsid w:val="00D606C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52B6"/>
    <w:rsid w:val="00D86067"/>
    <w:rsid w:val="00D86AA0"/>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0A2"/>
    <w:rsid w:val="00DA1A5F"/>
    <w:rsid w:val="00DA1AD9"/>
    <w:rsid w:val="00DA1D95"/>
    <w:rsid w:val="00DA1E27"/>
    <w:rsid w:val="00DA2007"/>
    <w:rsid w:val="00DA26A2"/>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67ED"/>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536"/>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71C"/>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83B"/>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0DE6"/>
    <w:rsid w:val="00E71C13"/>
    <w:rsid w:val="00E72A27"/>
    <w:rsid w:val="00E73C4D"/>
    <w:rsid w:val="00E7403B"/>
    <w:rsid w:val="00E743B6"/>
    <w:rsid w:val="00E74E22"/>
    <w:rsid w:val="00E74ECD"/>
    <w:rsid w:val="00E754C1"/>
    <w:rsid w:val="00E754FB"/>
    <w:rsid w:val="00E757F7"/>
    <w:rsid w:val="00E75ADB"/>
    <w:rsid w:val="00E7616C"/>
    <w:rsid w:val="00E7628C"/>
    <w:rsid w:val="00E762EF"/>
    <w:rsid w:val="00E769B6"/>
    <w:rsid w:val="00E76CDF"/>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6D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641"/>
    <w:rsid w:val="00EC2F7E"/>
    <w:rsid w:val="00EC311A"/>
    <w:rsid w:val="00EC3561"/>
    <w:rsid w:val="00EC393D"/>
    <w:rsid w:val="00EC39BB"/>
    <w:rsid w:val="00EC3BF8"/>
    <w:rsid w:val="00EC505F"/>
    <w:rsid w:val="00EC5158"/>
    <w:rsid w:val="00EC52EB"/>
    <w:rsid w:val="00EC5648"/>
    <w:rsid w:val="00EC5F70"/>
    <w:rsid w:val="00EC5FB4"/>
    <w:rsid w:val="00EC64DF"/>
    <w:rsid w:val="00EC6B04"/>
    <w:rsid w:val="00EC6B84"/>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BD4"/>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C54"/>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24A"/>
    <w:rsid w:val="00EF25CA"/>
    <w:rsid w:val="00EF2646"/>
    <w:rsid w:val="00EF272B"/>
    <w:rsid w:val="00EF3325"/>
    <w:rsid w:val="00EF3390"/>
    <w:rsid w:val="00EF3499"/>
    <w:rsid w:val="00EF47C7"/>
    <w:rsid w:val="00EF5A32"/>
    <w:rsid w:val="00EF5B80"/>
    <w:rsid w:val="00EF6954"/>
    <w:rsid w:val="00EF7B81"/>
    <w:rsid w:val="00F0040F"/>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17DA1"/>
    <w:rsid w:val="00F20542"/>
    <w:rsid w:val="00F205F3"/>
    <w:rsid w:val="00F2061C"/>
    <w:rsid w:val="00F21147"/>
    <w:rsid w:val="00F2117E"/>
    <w:rsid w:val="00F211AE"/>
    <w:rsid w:val="00F213BA"/>
    <w:rsid w:val="00F2192B"/>
    <w:rsid w:val="00F2298E"/>
    <w:rsid w:val="00F22AD5"/>
    <w:rsid w:val="00F238C6"/>
    <w:rsid w:val="00F23E3E"/>
    <w:rsid w:val="00F24118"/>
    <w:rsid w:val="00F2457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5FA7"/>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C2A"/>
    <w:rsid w:val="00F85E42"/>
    <w:rsid w:val="00F85ED0"/>
    <w:rsid w:val="00F864A4"/>
    <w:rsid w:val="00F86A45"/>
    <w:rsid w:val="00F86EED"/>
    <w:rsid w:val="00F878FE"/>
    <w:rsid w:val="00F87B44"/>
    <w:rsid w:val="00F87FEA"/>
    <w:rsid w:val="00F901C4"/>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5A62"/>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4C"/>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DC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895"/>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09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B309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B309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TALChar">
    <w:name w:val="TAL Char"/>
    <w:rsid w:val="00615F2F"/>
    <w:rPr>
      <w:rFonts w:ascii="Arial" w:eastAsia="Times New Roman" w:hAnsi="Arial"/>
      <w:sz w:val="18"/>
      <w:lang w:val="en-GB"/>
    </w:rPr>
  </w:style>
  <w:style w:type="character" w:customStyle="1" w:styleId="CRCoverPageChar">
    <w:name w:val="CR Cover Page Char"/>
    <w:link w:val="CRCoverPage"/>
    <w:rsid w:val="005B21B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607694">
      <w:bodyDiv w:val="1"/>
      <w:marLeft w:val="0"/>
      <w:marRight w:val="0"/>
      <w:marTop w:val="0"/>
      <w:marBottom w:val="0"/>
      <w:divBdr>
        <w:top w:val="none" w:sz="0" w:space="0" w:color="auto"/>
        <w:left w:val="none" w:sz="0" w:space="0" w:color="auto"/>
        <w:bottom w:val="none" w:sz="0" w:space="0" w:color="auto"/>
        <w:right w:val="none" w:sz="0" w:space="0" w:color="auto"/>
      </w:divBdr>
      <w:divsChild>
        <w:div w:id="1689941589">
          <w:marLeft w:val="547"/>
          <w:marRight w:val="0"/>
          <w:marTop w:val="0"/>
          <w:marBottom w:val="0"/>
          <w:divBdr>
            <w:top w:val="none" w:sz="0" w:space="0" w:color="auto"/>
            <w:left w:val="none" w:sz="0" w:space="0" w:color="auto"/>
            <w:bottom w:val="none" w:sz="0" w:space="0" w:color="auto"/>
            <w:right w:val="none" w:sz="0" w:space="0" w:color="auto"/>
          </w:divBdr>
        </w:div>
        <w:div w:id="1093017341">
          <w:marLeft w:val="1267"/>
          <w:marRight w:val="0"/>
          <w:marTop w:val="0"/>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4270877">
      <w:bodyDiv w:val="1"/>
      <w:marLeft w:val="0"/>
      <w:marRight w:val="0"/>
      <w:marTop w:val="0"/>
      <w:marBottom w:val="0"/>
      <w:divBdr>
        <w:top w:val="none" w:sz="0" w:space="0" w:color="auto"/>
        <w:left w:val="none" w:sz="0" w:space="0" w:color="auto"/>
        <w:bottom w:val="none" w:sz="0" w:space="0" w:color="auto"/>
        <w:right w:val="none" w:sz="0" w:space="0" w:color="auto"/>
      </w:divBdr>
      <w:divsChild>
        <w:div w:id="496728833">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75089487">
      <w:bodyDiv w:val="1"/>
      <w:marLeft w:val="0"/>
      <w:marRight w:val="0"/>
      <w:marTop w:val="0"/>
      <w:marBottom w:val="0"/>
      <w:divBdr>
        <w:top w:val="none" w:sz="0" w:space="0" w:color="auto"/>
        <w:left w:val="none" w:sz="0" w:space="0" w:color="auto"/>
        <w:bottom w:val="none" w:sz="0" w:space="0" w:color="auto"/>
        <w:right w:val="none" w:sz="0" w:space="0" w:color="auto"/>
      </w:divBdr>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282C2-29B5-4232-A32F-F1B5A999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2704</Words>
  <Characters>15416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2019-09-27T02:26:00Z</dcterms:created>
  <dcterms:modified xsi:type="dcterms:W3CDTF">2019-10-02T02:50:00Z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